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5605E3" w14:textId="77777777" w:rsidR="0054729A" w:rsidRPr="001772EB" w:rsidRDefault="00DA0EE1">
      <w:pPr>
        <w:rPr>
          <w:rFonts w:asciiTheme="majorHAnsi" w:hAnsiTheme="majorHAnsi" w:cstheme="majorHAnsi"/>
          <w:b/>
          <w:szCs w:val="24"/>
        </w:rPr>
      </w:pPr>
      <w:bookmarkStart w:id="0" w:name="_GoBack"/>
      <w:bookmarkEnd w:id="0"/>
      <w:r w:rsidRPr="001772EB">
        <w:rPr>
          <w:rFonts w:asciiTheme="majorHAnsi" w:hAnsiTheme="majorHAnsi" w:cstheme="majorHAnsi"/>
          <w:b/>
          <w:szCs w:val="24"/>
        </w:rPr>
        <w:t>Supplemental Methods</w:t>
      </w:r>
    </w:p>
    <w:p w14:paraId="1F2CA438" w14:textId="77777777" w:rsidR="00DA0EE1" w:rsidRPr="001772EB" w:rsidRDefault="00DA0EE1">
      <w:pPr>
        <w:rPr>
          <w:rFonts w:asciiTheme="majorHAnsi" w:hAnsiTheme="majorHAnsi" w:cstheme="majorHAnsi"/>
          <w:szCs w:val="24"/>
        </w:rPr>
      </w:pPr>
    </w:p>
    <w:p w14:paraId="0EA4A827" w14:textId="77777777" w:rsidR="00DA0EE1" w:rsidRPr="001772EB" w:rsidRDefault="00DA0EE1" w:rsidP="00DA0EE1">
      <w:pPr>
        <w:spacing w:line="360" w:lineRule="auto"/>
        <w:jc w:val="both"/>
        <w:rPr>
          <w:rFonts w:asciiTheme="majorHAnsi" w:hAnsiTheme="majorHAnsi" w:cstheme="majorHAnsi"/>
          <w:b/>
          <w:szCs w:val="24"/>
        </w:rPr>
      </w:pPr>
      <w:r w:rsidRPr="001772EB">
        <w:rPr>
          <w:rFonts w:asciiTheme="majorHAnsi" w:hAnsiTheme="majorHAnsi" w:cstheme="majorHAnsi"/>
          <w:b/>
          <w:szCs w:val="24"/>
        </w:rPr>
        <w:t>Ethics statement</w:t>
      </w:r>
    </w:p>
    <w:p w14:paraId="5DD38F4C" w14:textId="5B1FB224" w:rsidR="00DA0EE1" w:rsidRPr="001772EB" w:rsidRDefault="00DA0EE1" w:rsidP="00DA0EE1">
      <w:pPr>
        <w:spacing w:line="360" w:lineRule="auto"/>
        <w:jc w:val="both"/>
        <w:rPr>
          <w:rFonts w:asciiTheme="majorHAnsi" w:hAnsiTheme="majorHAnsi" w:cstheme="majorHAnsi"/>
          <w:szCs w:val="24"/>
        </w:rPr>
      </w:pPr>
      <w:r w:rsidRPr="001772EB">
        <w:rPr>
          <w:rFonts w:asciiTheme="majorHAnsi" w:hAnsiTheme="majorHAnsi" w:cstheme="majorHAnsi"/>
          <w:color w:val="000000"/>
          <w:szCs w:val="24"/>
        </w:rPr>
        <w:t>The studies in Nicaragua were conducted in collaboration with the Nicaraguan Ministry of Health and were approved by the Institutional Review Boards (IRBs) of the University of California, Berkeley (UCB), and the Nicaraguan Ministry of Health. A parent or legal guardian of the subjects pr</w:t>
      </w:r>
      <w:r w:rsidR="00DC6C1D" w:rsidRPr="001772EB">
        <w:rPr>
          <w:rFonts w:asciiTheme="majorHAnsi" w:hAnsiTheme="majorHAnsi" w:cstheme="majorHAnsi"/>
          <w:color w:val="000000"/>
          <w:szCs w:val="24"/>
        </w:rPr>
        <w:t>ovided written informed consent</w:t>
      </w:r>
      <w:r w:rsidRPr="001772EB">
        <w:rPr>
          <w:rFonts w:asciiTheme="majorHAnsi" w:hAnsiTheme="majorHAnsi" w:cstheme="majorHAnsi"/>
          <w:color w:val="000000"/>
          <w:szCs w:val="24"/>
        </w:rPr>
        <w:t xml:space="preserve">, and verbal assent was obtained from all children six years and older.  </w:t>
      </w:r>
      <w:r w:rsidR="00DC6C1D" w:rsidRPr="001772EB">
        <w:rPr>
          <w:rFonts w:asciiTheme="majorHAnsi" w:hAnsiTheme="majorHAnsi" w:cstheme="majorHAnsi"/>
          <w:szCs w:val="24"/>
        </w:rPr>
        <w:t xml:space="preserve">Blood specimens from subjects in Sri Lanka were obtained with informed consent and IRB approval </w:t>
      </w:r>
      <w:r w:rsidR="001F17AE" w:rsidRPr="001772EB">
        <w:rPr>
          <w:rFonts w:asciiTheme="majorHAnsi" w:hAnsiTheme="majorHAnsi" w:cstheme="majorHAnsi"/>
          <w:szCs w:val="24"/>
        </w:rPr>
        <w:t xml:space="preserve">provided by the Ethics Review Committee of the University of Colombo </w:t>
      </w:r>
      <w:r w:rsidR="00DC6C1D" w:rsidRPr="001772EB">
        <w:rPr>
          <w:rFonts w:asciiTheme="majorHAnsi" w:hAnsiTheme="majorHAnsi" w:cstheme="majorHAnsi"/>
          <w:szCs w:val="24"/>
        </w:rPr>
        <w:t>as part of the Pediatric Dengue Vaccine Initiative (PDVI) or a hospital-based study in Colombo. Serological testing was performed with IRB approval at the University of North Carolina (UNC).</w:t>
      </w:r>
      <w:r w:rsidR="00EC4782" w:rsidRPr="001772EB">
        <w:rPr>
          <w:rFonts w:asciiTheme="majorHAnsi" w:hAnsiTheme="majorHAnsi" w:cstheme="majorHAnsi"/>
          <w:szCs w:val="24"/>
        </w:rPr>
        <w:t xml:space="preserve"> </w:t>
      </w:r>
      <w:r w:rsidRPr="001772EB">
        <w:rPr>
          <w:rFonts w:asciiTheme="majorHAnsi" w:hAnsiTheme="majorHAnsi" w:cstheme="majorHAnsi"/>
          <w:szCs w:val="24"/>
        </w:rPr>
        <w:t xml:space="preserve">Blood samples from Thailand were collected after written informed consent and the approval of the ethical committee of the </w:t>
      </w:r>
      <w:proofErr w:type="spellStart"/>
      <w:r w:rsidRPr="001772EB">
        <w:rPr>
          <w:rFonts w:asciiTheme="majorHAnsi" w:hAnsiTheme="majorHAnsi" w:cstheme="majorHAnsi"/>
          <w:szCs w:val="24"/>
        </w:rPr>
        <w:t>Khon</w:t>
      </w:r>
      <w:proofErr w:type="spellEnd"/>
      <w:r w:rsidRPr="001772EB">
        <w:rPr>
          <w:rFonts w:asciiTheme="majorHAnsi" w:hAnsiTheme="majorHAnsi" w:cstheme="majorHAnsi"/>
          <w:szCs w:val="24"/>
        </w:rPr>
        <w:t xml:space="preserve"> </w:t>
      </w:r>
      <w:proofErr w:type="spellStart"/>
      <w:r w:rsidRPr="001772EB">
        <w:rPr>
          <w:rFonts w:asciiTheme="majorHAnsi" w:hAnsiTheme="majorHAnsi" w:cstheme="majorHAnsi"/>
          <w:szCs w:val="24"/>
        </w:rPr>
        <w:t>Kaen</w:t>
      </w:r>
      <w:proofErr w:type="spellEnd"/>
      <w:r w:rsidRPr="001772EB">
        <w:rPr>
          <w:rFonts w:asciiTheme="majorHAnsi" w:hAnsiTheme="majorHAnsi" w:cstheme="majorHAnsi"/>
          <w:szCs w:val="24"/>
        </w:rPr>
        <w:t xml:space="preserve"> and </w:t>
      </w:r>
      <w:proofErr w:type="spellStart"/>
      <w:r w:rsidRPr="001772EB">
        <w:rPr>
          <w:rFonts w:asciiTheme="majorHAnsi" w:hAnsiTheme="majorHAnsi" w:cstheme="majorHAnsi"/>
          <w:szCs w:val="24"/>
        </w:rPr>
        <w:t>Siriraj</w:t>
      </w:r>
      <w:proofErr w:type="spellEnd"/>
      <w:r w:rsidRPr="001772EB">
        <w:rPr>
          <w:rFonts w:asciiTheme="majorHAnsi" w:hAnsiTheme="majorHAnsi" w:cstheme="majorHAnsi"/>
          <w:szCs w:val="24"/>
        </w:rPr>
        <w:t xml:space="preserve"> Hospitals in Thailand and the Riverside Ethics Committee in UK for studies conducted at Imperial College London (ICL). </w:t>
      </w:r>
    </w:p>
    <w:p w14:paraId="6B2F26E6" w14:textId="77777777" w:rsidR="00C2133A" w:rsidRPr="001772EB" w:rsidRDefault="00C2133A" w:rsidP="00C2133A">
      <w:pPr>
        <w:spacing w:line="360" w:lineRule="auto"/>
        <w:jc w:val="both"/>
        <w:rPr>
          <w:rFonts w:asciiTheme="majorHAnsi" w:hAnsiTheme="majorHAnsi" w:cstheme="majorHAnsi"/>
          <w:b/>
          <w:szCs w:val="24"/>
        </w:rPr>
      </w:pPr>
    </w:p>
    <w:p w14:paraId="6A605760" w14:textId="0FD4A0F2" w:rsidR="00C2133A" w:rsidRPr="001772EB" w:rsidRDefault="00C2133A" w:rsidP="00C2133A">
      <w:pPr>
        <w:spacing w:line="360" w:lineRule="auto"/>
        <w:jc w:val="both"/>
        <w:rPr>
          <w:rFonts w:asciiTheme="majorHAnsi" w:hAnsiTheme="majorHAnsi" w:cstheme="majorHAnsi"/>
          <w:b/>
          <w:szCs w:val="24"/>
        </w:rPr>
      </w:pPr>
      <w:r w:rsidRPr="001772EB">
        <w:rPr>
          <w:rFonts w:asciiTheme="majorHAnsi" w:hAnsiTheme="majorHAnsi" w:cstheme="majorHAnsi"/>
          <w:b/>
          <w:szCs w:val="24"/>
        </w:rPr>
        <w:t xml:space="preserve">Cell culture and virus production </w:t>
      </w:r>
    </w:p>
    <w:p w14:paraId="0D04E6EE" w14:textId="6DD80B4A" w:rsidR="00C2133A" w:rsidRPr="001772EB" w:rsidRDefault="00C2133A" w:rsidP="00C2133A">
      <w:pPr>
        <w:spacing w:line="360" w:lineRule="auto"/>
        <w:contextualSpacing/>
        <w:jc w:val="both"/>
        <w:rPr>
          <w:rFonts w:asciiTheme="majorHAnsi" w:hAnsiTheme="majorHAnsi" w:cstheme="majorHAnsi"/>
          <w:color w:val="000000"/>
          <w:szCs w:val="24"/>
        </w:rPr>
      </w:pPr>
      <w:r w:rsidRPr="001772EB">
        <w:rPr>
          <w:rFonts w:asciiTheme="majorHAnsi" w:hAnsiTheme="majorHAnsi" w:cstheme="majorHAnsi"/>
          <w:i/>
          <w:szCs w:val="24"/>
        </w:rPr>
        <w:t>UCB.</w:t>
      </w:r>
      <w:r w:rsidRPr="001772EB">
        <w:rPr>
          <w:rFonts w:asciiTheme="majorHAnsi" w:hAnsiTheme="majorHAnsi" w:cstheme="majorHAnsi"/>
          <w:szCs w:val="24"/>
        </w:rPr>
        <w:t xml:space="preserve"> Vero-81 and C6/36 cells were cultured as described in Supplemental Methods. Vero-81 cells were obtained from the UC Berkeley Cell Culture Facility. Cells were maintained at 37°C and 5% CO</w:t>
      </w:r>
      <w:r w:rsidRPr="001772EB">
        <w:rPr>
          <w:rFonts w:asciiTheme="majorHAnsi" w:hAnsiTheme="majorHAnsi" w:cstheme="majorHAnsi"/>
          <w:szCs w:val="24"/>
          <w:vertAlign w:val="subscript"/>
        </w:rPr>
        <w:t>2</w:t>
      </w:r>
      <w:r w:rsidRPr="001772EB">
        <w:rPr>
          <w:rFonts w:asciiTheme="majorHAnsi" w:hAnsiTheme="majorHAnsi" w:cstheme="majorHAnsi"/>
          <w:szCs w:val="24"/>
        </w:rPr>
        <w:t xml:space="preserve"> in DMEM medium (</w:t>
      </w:r>
      <w:proofErr w:type="spellStart"/>
      <w:r w:rsidRPr="001772EB">
        <w:rPr>
          <w:rFonts w:asciiTheme="majorHAnsi" w:hAnsiTheme="majorHAnsi" w:cstheme="majorHAnsi"/>
          <w:szCs w:val="24"/>
        </w:rPr>
        <w:t>Gibco</w:t>
      </w:r>
      <w:proofErr w:type="spellEnd"/>
      <w:r w:rsidRPr="001772EB">
        <w:rPr>
          <w:rFonts w:asciiTheme="majorHAnsi" w:hAnsiTheme="majorHAnsi" w:cstheme="majorHAnsi"/>
          <w:szCs w:val="24"/>
        </w:rPr>
        <w:t xml:space="preserve">) </w:t>
      </w:r>
      <w:r w:rsidRPr="00BF7699">
        <w:rPr>
          <w:rFonts w:ascii="Calibri" w:hAnsi="Calibri" w:cstheme="majorHAnsi"/>
          <w:szCs w:val="24"/>
        </w:rPr>
        <w:t>containing 4.5 g/L</w:t>
      </w:r>
      <w:r w:rsidR="00BF7699" w:rsidRPr="00BF7699">
        <w:rPr>
          <w:rFonts w:ascii="Calibri" w:hAnsi="Calibri" w:cstheme="majorHAnsi"/>
          <w:szCs w:val="24"/>
        </w:rPr>
        <w:t xml:space="preserve"> </w:t>
      </w:r>
      <w:r w:rsidR="00BF7699" w:rsidRPr="00BF7699">
        <w:rPr>
          <w:rFonts w:ascii="Calibri" w:hAnsi="Calibri" w:cs="Arial"/>
        </w:rPr>
        <w:t>low-glucose</w:t>
      </w:r>
      <w:r w:rsidRPr="001772EB">
        <w:rPr>
          <w:rFonts w:asciiTheme="majorHAnsi" w:hAnsiTheme="majorHAnsi" w:cstheme="majorHAnsi"/>
          <w:szCs w:val="24"/>
        </w:rPr>
        <w:t>, L-Glutamine (</w:t>
      </w:r>
      <w:r w:rsidR="00BF7699">
        <w:rPr>
          <w:rFonts w:asciiTheme="majorHAnsi" w:hAnsiTheme="majorHAnsi" w:cstheme="majorHAnsi"/>
          <w:szCs w:val="24"/>
        </w:rPr>
        <w:t xml:space="preserve">200 </w:t>
      </w:r>
      <w:proofErr w:type="spellStart"/>
      <w:r w:rsidR="00BF7699">
        <w:rPr>
          <w:rFonts w:asciiTheme="majorHAnsi" w:hAnsiTheme="majorHAnsi" w:cstheme="majorHAnsi"/>
          <w:szCs w:val="24"/>
        </w:rPr>
        <w:t>mM</w:t>
      </w:r>
      <w:proofErr w:type="spellEnd"/>
      <w:r w:rsidR="00BF7699">
        <w:rPr>
          <w:rFonts w:asciiTheme="majorHAnsi" w:hAnsiTheme="majorHAnsi" w:cstheme="majorHAnsi"/>
          <w:szCs w:val="24"/>
        </w:rPr>
        <w:t>)</w:t>
      </w:r>
      <w:r w:rsidRPr="001772EB">
        <w:rPr>
          <w:rFonts w:asciiTheme="majorHAnsi" w:hAnsiTheme="majorHAnsi" w:cstheme="majorHAnsi"/>
          <w:szCs w:val="24"/>
        </w:rPr>
        <w:t xml:space="preserve">, 5% fetal bovine serum (FBS), HEPES (1X), and penicillin/streptomycin (1X; </w:t>
      </w:r>
      <w:proofErr w:type="spellStart"/>
      <w:r w:rsidR="00BF7699">
        <w:rPr>
          <w:rFonts w:asciiTheme="majorHAnsi" w:hAnsiTheme="majorHAnsi" w:cstheme="majorHAnsi"/>
          <w:szCs w:val="24"/>
        </w:rPr>
        <w:t>Gibco</w:t>
      </w:r>
      <w:proofErr w:type="spellEnd"/>
      <w:r w:rsidRPr="001772EB">
        <w:rPr>
          <w:rFonts w:asciiTheme="majorHAnsi" w:hAnsiTheme="majorHAnsi" w:cstheme="majorHAnsi"/>
          <w:szCs w:val="24"/>
        </w:rPr>
        <w:t xml:space="preserve">). </w:t>
      </w:r>
      <w:r w:rsidRPr="001772EB">
        <w:rPr>
          <w:rFonts w:asciiTheme="majorHAnsi" w:hAnsiTheme="majorHAnsi" w:cstheme="majorHAnsi"/>
          <w:i/>
          <w:szCs w:val="24"/>
        </w:rPr>
        <w:t xml:space="preserve">Ae. </w:t>
      </w:r>
      <w:proofErr w:type="spellStart"/>
      <w:proofErr w:type="gramStart"/>
      <w:r w:rsidRPr="001772EB">
        <w:rPr>
          <w:rFonts w:asciiTheme="majorHAnsi" w:hAnsiTheme="majorHAnsi" w:cstheme="majorHAnsi"/>
          <w:i/>
          <w:szCs w:val="24"/>
        </w:rPr>
        <w:t>albopictus</w:t>
      </w:r>
      <w:proofErr w:type="spellEnd"/>
      <w:proofErr w:type="gramEnd"/>
      <w:r w:rsidRPr="001772EB">
        <w:rPr>
          <w:rFonts w:asciiTheme="majorHAnsi" w:hAnsiTheme="majorHAnsi" w:cstheme="majorHAnsi"/>
          <w:szCs w:val="24"/>
        </w:rPr>
        <w:t xml:space="preserve"> C6/36 cells (ATCC) were grown at 32°C in RPMI 1640 medium</w:t>
      </w:r>
      <w:r w:rsidR="00BF7699">
        <w:rPr>
          <w:rFonts w:asciiTheme="majorHAnsi" w:hAnsiTheme="majorHAnsi" w:cstheme="majorHAnsi"/>
          <w:szCs w:val="24"/>
        </w:rPr>
        <w:t xml:space="preserve"> (</w:t>
      </w:r>
      <w:proofErr w:type="spellStart"/>
      <w:r w:rsidR="00BF7699">
        <w:rPr>
          <w:rFonts w:asciiTheme="majorHAnsi" w:hAnsiTheme="majorHAnsi" w:cstheme="majorHAnsi"/>
          <w:szCs w:val="24"/>
        </w:rPr>
        <w:t>Gibco</w:t>
      </w:r>
      <w:proofErr w:type="spellEnd"/>
      <w:r w:rsidR="00BF7699">
        <w:rPr>
          <w:rFonts w:asciiTheme="majorHAnsi" w:hAnsiTheme="majorHAnsi" w:cstheme="majorHAnsi"/>
          <w:szCs w:val="24"/>
        </w:rPr>
        <w:t xml:space="preserve">) containing L-Glutamine, </w:t>
      </w:r>
      <w:r w:rsidRPr="001772EB">
        <w:rPr>
          <w:rFonts w:asciiTheme="majorHAnsi" w:hAnsiTheme="majorHAnsi" w:cstheme="majorHAnsi"/>
          <w:szCs w:val="24"/>
        </w:rPr>
        <w:t xml:space="preserve">FBS (2%), and penicillin/streptomycin (1X). </w:t>
      </w:r>
    </w:p>
    <w:p w14:paraId="101BDEE7" w14:textId="77777777" w:rsidR="00C2133A" w:rsidRPr="001772EB" w:rsidRDefault="00C2133A" w:rsidP="00C2133A">
      <w:pPr>
        <w:spacing w:line="360" w:lineRule="auto"/>
        <w:contextualSpacing/>
        <w:jc w:val="both"/>
        <w:rPr>
          <w:rFonts w:asciiTheme="majorHAnsi" w:hAnsiTheme="majorHAnsi" w:cstheme="majorHAnsi"/>
          <w:color w:val="000000"/>
          <w:szCs w:val="24"/>
        </w:rPr>
      </w:pPr>
    </w:p>
    <w:p w14:paraId="1842FE5D" w14:textId="77777777" w:rsidR="00C2133A" w:rsidRPr="001772EB" w:rsidRDefault="00C2133A" w:rsidP="00C2133A">
      <w:pPr>
        <w:spacing w:line="360" w:lineRule="auto"/>
        <w:contextualSpacing/>
        <w:jc w:val="both"/>
        <w:rPr>
          <w:rFonts w:asciiTheme="majorHAnsi" w:hAnsiTheme="majorHAnsi" w:cstheme="majorHAnsi"/>
          <w:b/>
          <w:szCs w:val="24"/>
        </w:rPr>
      </w:pPr>
      <w:r w:rsidRPr="001772EB">
        <w:rPr>
          <w:rFonts w:asciiTheme="majorHAnsi" w:hAnsiTheme="majorHAnsi" w:cstheme="majorHAnsi"/>
          <w:i/>
          <w:szCs w:val="24"/>
        </w:rPr>
        <w:t xml:space="preserve">UNC. </w:t>
      </w:r>
      <w:r w:rsidRPr="001772EB">
        <w:rPr>
          <w:rFonts w:asciiTheme="majorHAnsi" w:hAnsiTheme="majorHAnsi" w:cstheme="majorHAnsi"/>
          <w:szCs w:val="24"/>
        </w:rPr>
        <w:t>Vero cells were grown at 37</w:t>
      </w:r>
      <w:r w:rsidRPr="001772EB">
        <w:rPr>
          <w:rFonts w:asciiTheme="majorHAnsi" w:hAnsiTheme="majorHAnsi" w:cstheme="majorHAnsi"/>
          <w:szCs w:val="24"/>
          <w:vertAlign w:val="superscript"/>
        </w:rPr>
        <w:t>o</w:t>
      </w:r>
      <w:r w:rsidRPr="001772EB">
        <w:rPr>
          <w:rFonts w:asciiTheme="majorHAnsi" w:hAnsiTheme="majorHAnsi" w:cstheme="majorHAnsi"/>
          <w:szCs w:val="24"/>
        </w:rPr>
        <w:t>C with 5% CO</w:t>
      </w:r>
      <w:r w:rsidRPr="001772EB">
        <w:rPr>
          <w:rFonts w:asciiTheme="majorHAnsi" w:hAnsiTheme="majorHAnsi" w:cstheme="majorHAnsi"/>
          <w:szCs w:val="24"/>
          <w:vertAlign w:val="subscript"/>
        </w:rPr>
        <w:t>2</w:t>
      </w:r>
      <w:r w:rsidRPr="001772EB">
        <w:rPr>
          <w:rFonts w:asciiTheme="majorHAnsi" w:hAnsiTheme="majorHAnsi" w:cstheme="majorHAnsi"/>
          <w:szCs w:val="24"/>
        </w:rPr>
        <w:t xml:space="preserve"> in DMEM supplemented with 5% FBS and L-glutamine. C6/36 cells were grown at 32°C with 5% CO</w:t>
      </w:r>
      <w:r w:rsidRPr="001772EB">
        <w:rPr>
          <w:rFonts w:asciiTheme="majorHAnsi" w:hAnsiTheme="majorHAnsi" w:cstheme="majorHAnsi"/>
          <w:szCs w:val="24"/>
          <w:vertAlign w:val="subscript"/>
        </w:rPr>
        <w:t>2</w:t>
      </w:r>
      <w:r w:rsidRPr="001772EB">
        <w:rPr>
          <w:rFonts w:asciiTheme="majorHAnsi" w:hAnsiTheme="majorHAnsi" w:cstheme="majorHAnsi"/>
          <w:szCs w:val="24"/>
        </w:rPr>
        <w:t xml:space="preserve"> in MEM supplemented with 5% FBS, L-glutamine, non-essential amino acids, and HEPES buffer. All studies were conducted under Biosafety Level 2 containment.</w:t>
      </w:r>
    </w:p>
    <w:p w14:paraId="5D250356" w14:textId="77777777" w:rsidR="00C2133A" w:rsidRPr="001772EB" w:rsidRDefault="00C2133A" w:rsidP="00C2133A">
      <w:pPr>
        <w:spacing w:line="360" w:lineRule="auto"/>
        <w:jc w:val="both"/>
        <w:rPr>
          <w:rFonts w:asciiTheme="majorHAnsi" w:hAnsiTheme="majorHAnsi" w:cstheme="majorHAnsi"/>
          <w:i/>
          <w:color w:val="000000"/>
          <w:szCs w:val="24"/>
        </w:rPr>
      </w:pPr>
    </w:p>
    <w:p w14:paraId="77BB1B6D" w14:textId="0DB9D109" w:rsidR="00C2133A" w:rsidRPr="001772EB" w:rsidRDefault="00C2133A" w:rsidP="00C2133A">
      <w:pPr>
        <w:spacing w:line="360" w:lineRule="auto"/>
        <w:jc w:val="both"/>
        <w:rPr>
          <w:rFonts w:asciiTheme="majorHAnsi" w:hAnsiTheme="majorHAnsi" w:cstheme="majorHAnsi"/>
          <w:szCs w:val="24"/>
        </w:rPr>
      </w:pPr>
      <w:r w:rsidRPr="001772EB">
        <w:rPr>
          <w:rFonts w:asciiTheme="majorHAnsi" w:hAnsiTheme="majorHAnsi" w:cstheme="majorHAnsi"/>
          <w:i/>
          <w:color w:val="000000"/>
          <w:szCs w:val="24"/>
        </w:rPr>
        <w:lastRenderedPageBreak/>
        <w:t>ICL.</w:t>
      </w:r>
      <w:r w:rsidRPr="001772EB">
        <w:rPr>
          <w:rFonts w:asciiTheme="majorHAnsi" w:hAnsiTheme="majorHAnsi" w:cstheme="majorHAnsi"/>
          <w:color w:val="000000"/>
          <w:szCs w:val="24"/>
        </w:rPr>
        <w:t xml:space="preserve"> </w:t>
      </w:r>
      <w:r w:rsidRPr="001772EB">
        <w:rPr>
          <w:rFonts w:asciiTheme="majorHAnsi" w:hAnsiTheme="majorHAnsi" w:cstheme="majorHAnsi"/>
          <w:szCs w:val="24"/>
        </w:rPr>
        <w:t>Vero and U937 cells (gifts from Armed Forces Research Institute of Medical Science (AFRIMS), Bangkok, Thailand) were cultured at 37°C in MEM (</w:t>
      </w:r>
      <w:proofErr w:type="spellStart"/>
      <w:r w:rsidRPr="001772EB">
        <w:rPr>
          <w:rFonts w:asciiTheme="majorHAnsi" w:hAnsiTheme="majorHAnsi" w:cstheme="majorHAnsi"/>
          <w:szCs w:val="24"/>
        </w:rPr>
        <w:t>Gibco</w:t>
      </w:r>
      <w:proofErr w:type="spellEnd"/>
      <w:r w:rsidRPr="001772EB">
        <w:rPr>
          <w:rFonts w:asciiTheme="majorHAnsi" w:hAnsiTheme="majorHAnsi" w:cstheme="majorHAnsi"/>
          <w:szCs w:val="24"/>
        </w:rPr>
        <w:t xml:space="preserve">) and RPMI-1640 (Sigma), respectively. C6/36 cells (AFRIMS) were grown in </w:t>
      </w:r>
      <w:proofErr w:type="spellStart"/>
      <w:r w:rsidRPr="001772EB">
        <w:rPr>
          <w:rFonts w:asciiTheme="majorHAnsi" w:hAnsiTheme="majorHAnsi" w:cstheme="majorHAnsi"/>
          <w:szCs w:val="24"/>
        </w:rPr>
        <w:t>Leibovitz</w:t>
      </w:r>
      <w:proofErr w:type="spellEnd"/>
      <w:r w:rsidRPr="001772EB">
        <w:rPr>
          <w:rFonts w:asciiTheme="majorHAnsi" w:hAnsiTheme="majorHAnsi" w:cstheme="majorHAnsi"/>
          <w:szCs w:val="24"/>
        </w:rPr>
        <w:t xml:space="preserve"> L-15 (</w:t>
      </w:r>
      <w:proofErr w:type="spellStart"/>
      <w:r w:rsidRPr="001772EB">
        <w:rPr>
          <w:rFonts w:asciiTheme="majorHAnsi" w:hAnsiTheme="majorHAnsi" w:cstheme="majorHAnsi"/>
          <w:szCs w:val="24"/>
        </w:rPr>
        <w:t>Gibco</w:t>
      </w:r>
      <w:proofErr w:type="spellEnd"/>
      <w:r w:rsidRPr="001772EB">
        <w:rPr>
          <w:rFonts w:asciiTheme="majorHAnsi" w:hAnsiTheme="majorHAnsi" w:cstheme="majorHAnsi"/>
          <w:szCs w:val="24"/>
        </w:rPr>
        <w:t xml:space="preserve">) at 28°C. All media were supplemented with 10% heat-inactivated FBS, 100 units/ml penicillin and 100 </w:t>
      </w:r>
      <w:proofErr w:type="spellStart"/>
      <w:r w:rsidRPr="001772EB">
        <w:rPr>
          <w:rFonts w:asciiTheme="majorHAnsi" w:hAnsiTheme="majorHAnsi" w:cstheme="majorHAnsi"/>
          <w:szCs w:val="24"/>
        </w:rPr>
        <w:t>μg</w:t>
      </w:r>
      <w:proofErr w:type="spellEnd"/>
      <w:r w:rsidRPr="001772EB">
        <w:rPr>
          <w:rFonts w:asciiTheme="majorHAnsi" w:hAnsiTheme="majorHAnsi" w:cstheme="majorHAnsi"/>
          <w:szCs w:val="24"/>
        </w:rPr>
        <w:t xml:space="preserve">/ml streptomycin. All viruses were grown in C6/36 cells. </w:t>
      </w:r>
    </w:p>
    <w:p w14:paraId="6018288B" w14:textId="77777777" w:rsidR="00C2133A" w:rsidRPr="001772EB" w:rsidRDefault="00C2133A" w:rsidP="00C2133A">
      <w:pPr>
        <w:spacing w:line="360" w:lineRule="auto"/>
        <w:jc w:val="both"/>
        <w:rPr>
          <w:rFonts w:asciiTheme="majorHAnsi" w:hAnsiTheme="majorHAnsi" w:cstheme="majorHAnsi"/>
          <w:color w:val="000000"/>
          <w:szCs w:val="24"/>
        </w:rPr>
      </w:pPr>
    </w:p>
    <w:p w14:paraId="19D857C1" w14:textId="77777777" w:rsidR="00C2133A" w:rsidRPr="001772EB" w:rsidRDefault="00C2133A" w:rsidP="00C2133A">
      <w:pPr>
        <w:spacing w:line="360" w:lineRule="auto"/>
        <w:jc w:val="both"/>
        <w:rPr>
          <w:rFonts w:asciiTheme="majorHAnsi" w:hAnsiTheme="majorHAnsi" w:cstheme="majorHAnsi"/>
          <w:b/>
          <w:szCs w:val="24"/>
        </w:rPr>
      </w:pPr>
      <w:r w:rsidRPr="001772EB">
        <w:rPr>
          <w:rFonts w:asciiTheme="majorHAnsi" w:hAnsiTheme="majorHAnsi" w:cstheme="majorHAnsi"/>
          <w:b/>
          <w:szCs w:val="24"/>
        </w:rPr>
        <w:t xml:space="preserve">Focus Reduction Neutralization Test </w:t>
      </w:r>
    </w:p>
    <w:p w14:paraId="1BAB593D" w14:textId="65A94031" w:rsidR="00C2133A" w:rsidRPr="001772EB" w:rsidRDefault="00C2133A" w:rsidP="00C2133A">
      <w:pPr>
        <w:spacing w:line="360" w:lineRule="auto"/>
        <w:jc w:val="both"/>
        <w:rPr>
          <w:rFonts w:asciiTheme="majorHAnsi" w:eastAsiaTheme="minorHAnsi" w:hAnsiTheme="majorHAnsi" w:cstheme="majorHAnsi"/>
          <w:szCs w:val="24"/>
        </w:rPr>
      </w:pPr>
      <w:r w:rsidRPr="001772EB">
        <w:rPr>
          <w:rFonts w:asciiTheme="majorHAnsi" w:hAnsiTheme="majorHAnsi" w:cstheme="majorHAnsi"/>
          <w:i/>
          <w:szCs w:val="24"/>
          <w:shd w:val="clear" w:color="auto" w:fill="FFFFFF"/>
        </w:rPr>
        <w:t>UCB.</w:t>
      </w:r>
      <w:r w:rsidRPr="001772EB">
        <w:rPr>
          <w:rFonts w:asciiTheme="majorHAnsi" w:hAnsiTheme="majorHAnsi" w:cstheme="majorHAnsi"/>
          <w:szCs w:val="24"/>
          <w:shd w:val="clear" w:color="auto" w:fill="FFFFFF"/>
        </w:rPr>
        <w:t xml:space="preserve"> </w:t>
      </w:r>
      <w:r w:rsidRPr="001772EB">
        <w:rPr>
          <w:rFonts w:asciiTheme="majorHAnsi" w:hAnsiTheme="majorHAnsi" w:cstheme="majorHAnsi"/>
          <w:szCs w:val="24"/>
        </w:rPr>
        <w:t>Vero-81 cells (3 x 10</w:t>
      </w:r>
      <w:r w:rsidRPr="001772EB">
        <w:rPr>
          <w:rFonts w:asciiTheme="majorHAnsi" w:hAnsiTheme="majorHAnsi" w:cstheme="majorHAnsi"/>
          <w:szCs w:val="24"/>
          <w:vertAlign w:val="superscript"/>
        </w:rPr>
        <w:t>4</w:t>
      </w:r>
      <w:r w:rsidRPr="001772EB">
        <w:rPr>
          <w:rFonts w:asciiTheme="majorHAnsi" w:hAnsiTheme="majorHAnsi" w:cstheme="majorHAnsi"/>
          <w:szCs w:val="24"/>
        </w:rPr>
        <w:t xml:space="preserve"> cells/well) were seeded on 96-well flat-bottom tissue culture-treated plates, and incubated at 37°C for 15-24 hours. A mixture of virus</w:t>
      </w:r>
      <w:r w:rsidRPr="001772EB">
        <w:rPr>
          <w:rFonts w:asciiTheme="majorHAnsi" w:hAnsiTheme="majorHAnsi" w:cstheme="majorHAnsi"/>
          <w:color w:val="FF0000"/>
          <w:szCs w:val="24"/>
        </w:rPr>
        <w:t xml:space="preserve"> </w:t>
      </w:r>
      <w:r w:rsidRPr="001772EB">
        <w:rPr>
          <w:rFonts w:asciiTheme="majorHAnsi" w:hAnsiTheme="majorHAnsi" w:cstheme="majorHAnsi"/>
          <w:szCs w:val="24"/>
        </w:rPr>
        <w:t xml:space="preserve">and eight </w:t>
      </w:r>
      <w:r w:rsidRPr="001772EB">
        <w:rPr>
          <w:rFonts w:asciiTheme="majorHAnsi" w:hAnsiTheme="majorHAnsi" w:cstheme="majorHAnsi"/>
          <w:szCs w:val="24"/>
          <w:shd w:val="clear" w:color="auto" w:fill="FFFFFF"/>
        </w:rPr>
        <w:t xml:space="preserve">3-fold serial dilutions of human plasma were prepared, incubated </w:t>
      </w:r>
      <w:r w:rsidRPr="001772EB">
        <w:rPr>
          <w:rFonts w:asciiTheme="majorHAnsi" w:hAnsiTheme="majorHAnsi" w:cstheme="majorHAnsi"/>
          <w:szCs w:val="24"/>
        </w:rPr>
        <w:t>1 hour at room temperature on a shaker, and then transferred to the</w:t>
      </w:r>
      <w:r w:rsidRPr="001772EB">
        <w:rPr>
          <w:rFonts w:asciiTheme="majorHAnsi" w:hAnsiTheme="majorHAnsi" w:cstheme="majorHAnsi"/>
          <w:szCs w:val="24"/>
          <w:shd w:val="clear" w:color="auto" w:fill="FFFFFF"/>
        </w:rPr>
        <w:t xml:space="preserve"> cell monolayer plates and incubated for 1 hour at 37</w:t>
      </w:r>
      <w:r w:rsidRPr="001772EB">
        <w:rPr>
          <w:rFonts w:asciiTheme="majorHAnsi" w:hAnsiTheme="majorHAnsi" w:cstheme="majorHAnsi"/>
          <w:szCs w:val="24"/>
        </w:rPr>
        <w:t xml:space="preserve">°C for virus adsorption. Afterwards, an overlay medium consisting of 1:1 </w:t>
      </w:r>
      <w:proofErr w:type="spellStart"/>
      <w:r w:rsidRPr="001772EB">
        <w:rPr>
          <w:rFonts w:asciiTheme="majorHAnsi" w:hAnsiTheme="majorHAnsi" w:cstheme="majorHAnsi"/>
          <w:szCs w:val="24"/>
        </w:rPr>
        <w:t>vol</w:t>
      </w:r>
      <w:proofErr w:type="spellEnd"/>
      <w:r w:rsidRPr="001772EB">
        <w:rPr>
          <w:rFonts w:asciiTheme="majorHAnsi" w:hAnsiTheme="majorHAnsi" w:cstheme="majorHAnsi"/>
          <w:szCs w:val="24"/>
        </w:rPr>
        <w:t>/</w:t>
      </w:r>
      <w:proofErr w:type="spellStart"/>
      <w:r w:rsidRPr="001772EB">
        <w:rPr>
          <w:rFonts w:asciiTheme="majorHAnsi" w:hAnsiTheme="majorHAnsi" w:cstheme="majorHAnsi"/>
          <w:szCs w:val="24"/>
        </w:rPr>
        <w:t>vol</w:t>
      </w:r>
      <w:proofErr w:type="spellEnd"/>
      <w:r w:rsidRPr="001772EB">
        <w:rPr>
          <w:rFonts w:asciiTheme="majorHAnsi" w:hAnsiTheme="majorHAnsi" w:cstheme="majorHAnsi"/>
          <w:szCs w:val="24"/>
        </w:rPr>
        <w:t xml:space="preserve"> mix of DMEM supplemented with 5% FBS, 1% P/S and </w:t>
      </w:r>
      <w:proofErr w:type="spellStart"/>
      <w:r w:rsidRPr="001772EB">
        <w:rPr>
          <w:rFonts w:asciiTheme="majorHAnsi" w:hAnsiTheme="majorHAnsi" w:cstheme="majorHAnsi"/>
          <w:szCs w:val="24"/>
        </w:rPr>
        <w:t>carboxymethylcellulose</w:t>
      </w:r>
      <w:proofErr w:type="spellEnd"/>
      <w:r w:rsidRPr="001772EB">
        <w:rPr>
          <w:rFonts w:asciiTheme="majorHAnsi" w:hAnsiTheme="majorHAnsi" w:cstheme="majorHAnsi"/>
          <w:szCs w:val="24"/>
        </w:rPr>
        <w:t xml:space="preserve"> (CMC, 1.8%) was added to each well. The infected monolayer was incubated for 48 hours. Virus infection was detected via immunostaining using the </w:t>
      </w:r>
      <w:proofErr w:type="spellStart"/>
      <w:r w:rsidRPr="001772EB">
        <w:rPr>
          <w:rFonts w:asciiTheme="majorHAnsi" w:hAnsiTheme="majorHAnsi" w:cstheme="majorHAnsi"/>
          <w:szCs w:val="24"/>
        </w:rPr>
        <w:t>mAb</w:t>
      </w:r>
      <w:proofErr w:type="spellEnd"/>
      <w:r w:rsidRPr="001772EB">
        <w:rPr>
          <w:rFonts w:asciiTheme="majorHAnsi" w:hAnsiTheme="majorHAnsi" w:cstheme="majorHAnsi"/>
          <w:szCs w:val="24"/>
        </w:rPr>
        <w:t xml:space="preserve"> 4G2 (pan-DENV anti-E protein, 2 µg/mL), followed by </w:t>
      </w:r>
      <w:r w:rsidRPr="001772EB">
        <w:rPr>
          <w:rFonts w:asciiTheme="majorHAnsi" w:hAnsiTheme="majorHAnsi" w:cstheme="majorHAnsi"/>
          <w:szCs w:val="24"/>
          <w:shd w:val="clear" w:color="auto" w:fill="FFFFFF"/>
        </w:rPr>
        <w:t xml:space="preserve">peroxidase-conjugated goat anti-mouse IgG diluted 1:1000 in </w:t>
      </w:r>
      <w:proofErr w:type="spellStart"/>
      <w:r w:rsidRPr="001772EB">
        <w:rPr>
          <w:rFonts w:asciiTheme="majorHAnsi" w:hAnsiTheme="majorHAnsi" w:cstheme="majorHAnsi"/>
          <w:szCs w:val="24"/>
          <w:shd w:val="clear" w:color="auto" w:fill="FFFFFF"/>
        </w:rPr>
        <w:t>permeabilization</w:t>
      </w:r>
      <w:proofErr w:type="spellEnd"/>
      <w:r w:rsidRPr="001772EB">
        <w:rPr>
          <w:rFonts w:asciiTheme="majorHAnsi" w:hAnsiTheme="majorHAnsi" w:cstheme="majorHAnsi"/>
          <w:szCs w:val="24"/>
          <w:shd w:val="clear" w:color="auto" w:fill="FFFFFF"/>
        </w:rPr>
        <w:t xml:space="preserve"> buffer (0.2% </w:t>
      </w:r>
      <w:proofErr w:type="spellStart"/>
      <w:r w:rsidRPr="001772EB">
        <w:rPr>
          <w:rFonts w:asciiTheme="majorHAnsi" w:hAnsiTheme="majorHAnsi" w:cstheme="majorHAnsi"/>
          <w:szCs w:val="24"/>
          <w:shd w:val="clear" w:color="auto" w:fill="FFFFFF"/>
        </w:rPr>
        <w:t>saponin</w:t>
      </w:r>
      <w:proofErr w:type="spellEnd"/>
      <w:r w:rsidRPr="001772EB">
        <w:rPr>
          <w:rFonts w:asciiTheme="majorHAnsi" w:hAnsiTheme="majorHAnsi" w:cstheme="majorHAnsi"/>
          <w:szCs w:val="24"/>
          <w:shd w:val="clear" w:color="auto" w:fill="FFFFFF"/>
        </w:rPr>
        <w:t xml:space="preserve"> and 2% BSA in 1X PBS). The infected cells (foci) were visualized after staining the cell monolayer using a peroxidase substrate (True Blue HRP substrate, VWR). The number of foci were visualized and quantified by automatic counting using a CTL </w:t>
      </w:r>
      <w:proofErr w:type="spellStart"/>
      <w:r w:rsidRPr="001772EB">
        <w:rPr>
          <w:rFonts w:asciiTheme="majorHAnsi" w:hAnsiTheme="majorHAnsi" w:cstheme="majorHAnsi"/>
          <w:szCs w:val="24"/>
          <w:shd w:val="clear" w:color="auto" w:fill="FFFFFF"/>
        </w:rPr>
        <w:t>ImmunoSpot</w:t>
      </w:r>
      <w:proofErr w:type="spellEnd"/>
      <w:r w:rsidRPr="001772EB">
        <w:rPr>
          <w:rFonts w:asciiTheme="majorHAnsi" w:hAnsiTheme="majorHAnsi" w:cstheme="majorHAnsi"/>
          <w:szCs w:val="24"/>
          <w:shd w:val="clear" w:color="auto" w:fill="FFFFFF"/>
        </w:rPr>
        <w:t xml:space="preserve"> S6 Micro-Analyzer (Cellular Technology Limited). The log</w:t>
      </w:r>
      <w:r w:rsidRPr="001772EB">
        <w:rPr>
          <w:rFonts w:asciiTheme="majorHAnsi" w:hAnsiTheme="majorHAnsi" w:cstheme="majorHAnsi"/>
          <w:szCs w:val="24"/>
          <w:shd w:val="clear" w:color="auto" w:fill="FFFFFF"/>
          <w:vertAlign w:val="subscript"/>
        </w:rPr>
        <w:t>10</w:t>
      </w:r>
      <w:r w:rsidRPr="001772EB">
        <w:rPr>
          <w:rFonts w:asciiTheme="majorHAnsi" w:hAnsiTheme="majorHAnsi" w:cstheme="majorHAnsi"/>
          <w:szCs w:val="24"/>
        </w:rPr>
        <w:t xml:space="preserve"> of the reciprocal plasma dilution</w:t>
      </w:r>
      <w:r w:rsidRPr="001772EB" w:rsidDel="005D0E8E">
        <w:rPr>
          <w:rFonts w:asciiTheme="majorHAnsi" w:hAnsiTheme="majorHAnsi" w:cstheme="majorHAnsi"/>
          <w:szCs w:val="24"/>
          <w:shd w:val="clear" w:color="auto" w:fill="FFFFFF"/>
        </w:rPr>
        <w:t xml:space="preserve"> </w:t>
      </w:r>
      <w:r w:rsidRPr="001772EB">
        <w:rPr>
          <w:rFonts w:asciiTheme="majorHAnsi" w:hAnsiTheme="majorHAnsi" w:cstheme="majorHAnsi"/>
          <w:szCs w:val="24"/>
          <w:shd w:val="clear" w:color="auto" w:fill="FFFFFF"/>
        </w:rPr>
        <w:t xml:space="preserve">was plotted against relative infection, calculated as [(# spots sample - # spots non-infected control)/(# spots virus alone - # spots non-infected control)], and </w:t>
      </w:r>
      <w:r w:rsidRPr="001772EB">
        <w:rPr>
          <w:rFonts w:asciiTheme="majorHAnsi" w:hAnsiTheme="majorHAnsi" w:cstheme="majorHAnsi"/>
          <w:szCs w:val="24"/>
        </w:rPr>
        <w:t xml:space="preserve">fitted with a sigmoidal dose-response curve using </w:t>
      </w:r>
      <w:proofErr w:type="spellStart"/>
      <w:r w:rsidRPr="001772EB">
        <w:rPr>
          <w:rFonts w:asciiTheme="majorHAnsi" w:hAnsiTheme="majorHAnsi" w:cstheme="majorHAnsi"/>
          <w:szCs w:val="24"/>
        </w:rPr>
        <w:t>GraphPad</w:t>
      </w:r>
      <w:proofErr w:type="spellEnd"/>
      <w:r w:rsidRPr="001772EB">
        <w:rPr>
          <w:rFonts w:asciiTheme="majorHAnsi" w:hAnsiTheme="majorHAnsi" w:cstheme="majorHAnsi"/>
          <w:szCs w:val="24"/>
        </w:rPr>
        <w:t xml:space="preserve"> Prism software version 6.07 (La Jolla, CA). </w:t>
      </w:r>
      <w:r w:rsidRPr="001772EB" w:rsidDel="005D0E8E">
        <w:rPr>
          <w:rFonts w:asciiTheme="majorHAnsi" w:hAnsiTheme="majorHAnsi" w:cstheme="majorHAnsi"/>
          <w:szCs w:val="24"/>
        </w:rPr>
        <w:t>The titer of antibody (plasma dilution) that achieved a 50% reduction in infection (50% neutralization titer, NT</w:t>
      </w:r>
      <w:r w:rsidRPr="001772EB" w:rsidDel="005D0E8E">
        <w:rPr>
          <w:rFonts w:asciiTheme="majorHAnsi" w:hAnsiTheme="majorHAnsi" w:cstheme="majorHAnsi"/>
          <w:szCs w:val="24"/>
          <w:vertAlign w:val="subscript"/>
        </w:rPr>
        <w:t>50</w:t>
      </w:r>
      <w:r w:rsidRPr="001772EB" w:rsidDel="005D0E8E">
        <w:rPr>
          <w:rFonts w:asciiTheme="majorHAnsi" w:hAnsiTheme="majorHAnsi" w:cstheme="majorHAnsi"/>
          <w:szCs w:val="24"/>
        </w:rPr>
        <w:t xml:space="preserve">), is expressed as the reciprocal of the plasma dilution. </w:t>
      </w:r>
      <w:r w:rsidRPr="001772EB">
        <w:rPr>
          <w:rFonts w:asciiTheme="majorHAnsi" w:hAnsiTheme="majorHAnsi" w:cstheme="majorHAnsi"/>
          <w:szCs w:val="24"/>
        </w:rPr>
        <w:t xml:space="preserve">Maximum infection was calculated from monolayers infected in the absence of plasma. </w:t>
      </w:r>
      <w:r w:rsidRPr="001772EB">
        <w:rPr>
          <w:rFonts w:asciiTheme="majorHAnsi" w:eastAsiaTheme="minorHAnsi" w:hAnsiTheme="majorHAnsi" w:cstheme="majorHAnsi"/>
          <w:szCs w:val="24"/>
        </w:rPr>
        <w:t>Stringent QC rules, including the absolute sum of squares &lt;0.2 and the coefficient of determination (R</w:t>
      </w:r>
      <w:r w:rsidRPr="001772EB">
        <w:rPr>
          <w:rFonts w:asciiTheme="majorHAnsi" w:eastAsiaTheme="minorHAnsi" w:hAnsiTheme="majorHAnsi" w:cstheme="majorHAnsi"/>
          <w:szCs w:val="24"/>
          <w:vertAlign w:val="superscript"/>
        </w:rPr>
        <w:t>2</w:t>
      </w:r>
      <w:r w:rsidR="00340E66">
        <w:rPr>
          <w:rFonts w:asciiTheme="majorHAnsi" w:eastAsiaTheme="minorHAnsi" w:hAnsiTheme="majorHAnsi" w:cstheme="majorHAnsi"/>
          <w:szCs w:val="24"/>
        </w:rPr>
        <w:t>) of the non-linear regression</w:t>
      </w:r>
      <w:r w:rsidRPr="001772EB">
        <w:rPr>
          <w:rFonts w:asciiTheme="majorHAnsi" w:eastAsiaTheme="minorHAnsi" w:hAnsiTheme="majorHAnsi" w:cstheme="majorHAnsi"/>
          <w:szCs w:val="24"/>
        </w:rPr>
        <w:t xml:space="preserve"> &gt;0.9, were required to ensure the reliability of results.</w:t>
      </w:r>
    </w:p>
    <w:p w14:paraId="178B2FA3" w14:textId="77777777" w:rsidR="00C2133A" w:rsidRPr="001772EB" w:rsidRDefault="00C2133A" w:rsidP="00C2133A">
      <w:pPr>
        <w:spacing w:line="360" w:lineRule="auto"/>
        <w:rPr>
          <w:rFonts w:asciiTheme="majorHAnsi" w:eastAsiaTheme="minorHAnsi" w:hAnsiTheme="majorHAnsi" w:cstheme="majorHAnsi"/>
          <w:szCs w:val="24"/>
        </w:rPr>
      </w:pPr>
    </w:p>
    <w:p w14:paraId="51AF35B7" w14:textId="693AA436" w:rsidR="00C2133A" w:rsidRPr="001772EB" w:rsidRDefault="00C2133A" w:rsidP="00C2133A">
      <w:pPr>
        <w:spacing w:line="360" w:lineRule="auto"/>
        <w:contextualSpacing/>
        <w:jc w:val="both"/>
        <w:rPr>
          <w:rFonts w:asciiTheme="majorHAnsi" w:hAnsiTheme="majorHAnsi" w:cstheme="majorHAnsi"/>
          <w:szCs w:val="24"/>
        </w:rPr>
      </w:pPr>
      <w:r w:rsidRPr="001772EB">
        <w:rPr>
          <w:rFonts w:asciiTheme="majorHAnsi" w:hAnsiTheme="majorHAnsi" w:cstheme="majorHAnsi"/>
          <w:i/>
          <w:szCs w:val="24"/>
        </w:rPr>
        <w:lastRenderedPageBreak/>
        <w:t xml:space="preserve">UNC. </w:t>
      </w:r>
      <w:r w:rsidRPr="001772EB">
        <w:rPr>
          <w:rFonts w:asciiTheme="majorHAnsi" w:hAnsiTheme="majorHAnsi" w:cstheme="majorHAnsi"/>
          <w:szCs w:val="24"/>
        </w:rPr>
        <w:t>For PDVI samples, plasma proteins (antibodies) were first eluted from DBS cards. Briefly, DBS diluent volume was determined on the basis of standard plasma dilutions</w:t>
      </w:r>
      <w:r w:rsidR="00340E66">
        <w:rPr>
          <w:rFonts w:asciiTheme="majorHAnsi" w:hAnsiTheme="majorHAnsi" w:cstheme="majorHAnsi"/>
          <w:szCs w:val="24"/>
        </w:rPr>
        <w:t xml:space="preserve"> </w:t>
      </w:r>
      <w:r w:rsidR="00340E66">
        <w:rPr>
          <w:rFonts w:asciiTheme="majorHAnsi" w:hAnsiTheme="majorHAnsi" w:cstheme="majorHAnsi"/>
          <w:szCs w:val="24"/>
        </w:rPr>
        <w:fldChar w:fldCharType="begin" w:fldLock="1"/>
      </w:r>
      <w:r w:rsidR="00340E66">
        <w:rPr>
          <w:rFonts w:asciiTheme="majorHAnsi" w:hAnsiTheme="majorHAnsi" w:cstheme="majorHAnsi"/>
          <w:szCs w:val="24"/>
        </w:rPr>
        <w:instrText>ADDIN CSL_CITATION { "citationItems" : [ { "id" : "ITEM-1", "itemData" : { "DOI" : "10.1093/infdis/jiu481", "ISSN" : "1537-6613", "PMID" : "25336728", "abstract" : "Dengue viruses (DENVs) are mosquito-borne flaviviruses that infect humans. The clinical presentation of DENV infection ranges from inapparent infection to dengue hemorrhagic fever and dengue shock syndrome. We analyzed samples from a pediatric dengue cohort study in Sri Lanka to explore whether antibody responses differentiated clinically apparent infections from clinically inapparent infections. In DENV-naive individuals exposed to primary DENV infections, we observed no difference in the quantity or quality of acquired antibodies between inapparent and apparent infections. Children who experienced primary infections had broad, serotype-cross-neutralizing antibody responses that narrowed in breadth to a single serotype over a 12-month period after infection. In DENV immune children who were experiencing a repeat infection, we observed a strong association between preexisting neutralizing antibodies and clinical outcome. Notably, children with preexisting monospecific neutralizing antibody responses were more likely to develop fever than children with cross-neutralizing responses. Preexisting DENV neutralizing antibodies are correlated with protection from dengue disease.", "author" : [ { "dropping-particle" : "", "family" : "Corbett", "given" : "Kizzmekia S", "non-dropping-particle" : "", "parse-names" : false, "suffix" : "" }, { "dropping-particle" : "", "family" : "Katzelnick", "given" : "Leah", "non-dropping-particle" : "", "parse-names" : false, "suffix" : "" }, { "dropping-particle" : "", "family" : "Tissera", "given" : "Hasitha", "non-dropping-particle" : "", "parse-names" : false, "suffix" : "" }, { "dropping-particle" : "", "family" : "Amerasinghe", "given" : "Ananda", "non-dropping-particle" : "", "parse-names" : false, "suffix" : "" }, { "dropping-particle" : "", "family" : "Silva", "given" : "Aruna Dharshan", "non-dropping-particle" : "de", "parse-names" : false, "suffix" : "" }, { "dropping-particle" : "", "family" : "Silva", "given" : "Aravinda M", "non-dropping-particle" : "de", "parse-names" : false, "suffix" : "" } ], "container-title" : "The Journal of infectious diseases", "id" : "ITEM-1", "issue" : "4", "issued" : { "date-parts" : [ [ "2015", "2", "15" ] ] }, "page" : "590-9", "title" : "Preexisting neutralizing antibody responses distinguish clinically inapparent and apparent dengue virus infections in a Sri Lankan pediatric cohort.", "type" : "article-journal", "volume" : "211" }, "uris" : [ "http://www.mendeley.com/documents/?uuid=41af8004-8483-478d-b4fc-28cfc9bc48ea" ] } ], "mendeley" : { "formattedCitation" : "[1]", "plainTextFormattedCitation" : "[1]", "previouslyFormattedCitation" : "[1]" }, "properties" : { "noteIndex" : 3 }, "schema" : "https://github.com/citation-style-language/schema/raw/master/csl-citation.json" }</w:instrText>
      </w:r>
      <w:r w:rsidR="00340E66">
        <w:rPr>
          <w:rFonts w:asciiTheme="majorHAnsi" w:hAnsiTheme="majorHAnsi" w:cstheme="majorHAnsi"/>
          <w:szCs w:val="24"/>
        </w:rPr>
        <w:fldChar w:fldCharType="separate"/>
      </w:r>
      <w:r w:rsidR="00340E66" w:rsidRPr="00340E66">
        <w:rPr>
          <w:rFonts w:asciiTheme="majorHAnsi" w:hAnsiTheme="majorHAnsi" w:cstheme="majorHAnsi"/>
          <w:noProof/>
          <w:szCs w:val="24"/>
        </w:rPr>
        <w:t>[1]</w:t>
      </w:r>
      <w:r w:rsidR="00340E66">
        <w:rPr>
          <w:rFonts w:asciiTheme="majorHAnsi" w:hAnsiTheme="majorHAnsi" w:cstheme="majorHAnsi"/>
          <w:szCs w:val="24"/>
        </w:rPr>
        <w:fldChar w:fldCharType="end"/>
      </w:r>
      <w:r w:rsidRPr="001772EB">
        <w:rPr>
          <w:rFonts w:asciiTheme="majorHAnsi" w:hAnsiTheme="majorHAnsi" w:cstheme="majorHAnsi"/>
          <w:szCs w:val="24"/>
        </w:rPr>
        <w:t xml:space="preserve">. </w:t>
      </w:r>
      <w:r w:rsidRPr="001772EB">
        <w:rPr>
          <w:rFonts w:asciiTheme="majorHAnsi" w:hAnsiTheme="majorHAnsi" w:cstheme="majorHAnsi"/>
          <w:color w:val="000000"/>
          <w:szCs w:val="24"/>
        </w:rPr>
        <w:t xml:space="preserve">The previously described FRNT assay </w:t>
      </w:r>
      <w:r w:rsidR="00340E66">
        <w:rPr>
          <w:rFonts w:asciiTheme="majorHAnsi" w:hAnsiTheme="majorHAnsi" w:cstheme="majorHAnsi"/>
          <w:color w:val="000000"/>
          <w:szCs w:val="24"/>
        </w:rPr>
        <w:fldChar w:fldCharType="begin" w:fldLock="1"/>
      </w:r>
      <w:r w:rsidR="00340E66">
        <w:rPr>
          <w:rFonts w:asciiTheme="majorHAnsi" w:hAnsiTheme="majorHAnsi" w:cstheme="majorHAnsi"/>
          <w:color w:val="000000"/>
          <w:szCs w:val="24"/>
        </w:rPr>
        <w:instrText>ADDIN CSL_CITATION { "citationItems" : [ { "id" : "ITEM-1", "itemData" : { "DOI" : "10.1128/mBio.01461-15.Editor", "ISSN" : "21507511", "author" : [ { "dropping-particle" : "", "family" : "Gallichotte", "given" : "E N", "non-dropping-particle" : "", "parse-names" : false, "suffix" : "" }, { "dropping-particle" : "", "family" : "Widman", "given" : "D G", "non-dropping-particle" : "", "parse-names" : false, "suffix" : "" }, { "dropping-particle" : "", "family" : "Yount", "given" : "B L", "non-dropping-particle" : "", "parse-names" : false, "suffix" : "" }, { "dropping-particle" : "", "family" : "Wahala", "given" : "W M", "non-dropping-particle" : "", "parse-names" : false, "suffix" : "" }, { "dropping-particle" : "", "family" : "Durbin", "given" : "A", "non-dropping-particle" : "", "parse-names" : false, "suffix" : "" }, { "dropping-particle" : "", "family" : "Whitehead", "given" : "S", "non-dropping-particle" : "", "parse-names" : false, "suffix" : "" }, { "dropping-particle" : "", "family" : "Sariol", "given" : "C A", "non-dropping-particle" : "", "parse-names" : false, "suffix" : "" }, { "dropping-particle" : "", "family" : "Crowe", "given" : "J E", "non-dropping-particle" : "", "parse-names" : false, "suffix" : "" } ], "id" : "ITEM-1", "issue" : "5", "issued" : { "date-parts" : [ [ "2015" ] ] }, "page" : "1-8", "title" : "A New Quaternary Structure Epitope on Dengue Virus Serotype 2 Is the Target of Durable Type-Specific Neutralizing Antibodies", "type" : "article-journal", "volume" : "6" }, "uris" : [ "http://www.mendeley.com/documents/?uuid=da8945e4-b6e0-4e06-bb2c-6497a335de1f" ] } ], "mendeley" : { "formattedCitation" : "[2]", "plainTextFormattedCitation" : "[2]", "previouslyFormattedCitation" : "[2]" }, "properties" : { "noteIndex" : 3 }, "schema" : "https://github.com/citation-style-language/schema/raw/master/csl-citation.json" }</w:instrText>
      </w:r>
      <w:r w:rsidR="00340E66">
        <w:rPr>
          <w:rFonts w:asciiTheme="majorHAnsi" w:hAnsiTheme="majorHAnsi" w:cstheme="majorHAnsi"/>
          <w:color w:val="000000"/>
          <w:szCs w:val="24"/>
        </w:rPr>
        <w:fldChar w:fldCharType="separate"/>
      </w:r>
      <w:r w:rsidR="00340E66" w:rsidRPr="00340E66">
        <w:rPr>
          <w:rFonts w:asciiTheme="majorHAnsi" w:hAnsiTheme="majorHAnsi" w:cstheme="majorHAnsi"/>
          <w:noProof/>
          <w:color w:val="000000"/>
          <w:szCs w:val="24"/>
        </w:rPr>
        <w:t>[2]</w:t>
      </w:r>
      <w:r w:rsidR="00340E66">
        <w:rPr>
          <w:rFonts w:asciiTheme="majorHAnsi" w:hAnsiTheme="majorHAnsi" w:cstheme="majorHAnsi"/>
          <w:color w:val="000000"/>
          <w:szCs w:val="24"/>
        </w:rPr>
        <w:fldChar w:fldCharType="end"/>
      </w:r>
      <w:r w:rsidR="00E83D45" w:rsidRPr="001772EB">
        <w:rPr>
          <w:rFonts w:asciiTheme="majorHAnsi" w:hAnsiTheme="majorHAnsi" w:cstheme="majorHAnsi"/>
          <w:color w:val="000000"/>
          <w:szCs w:val="24"/>
        </w:rPr>
        <w:t xml:space="preserve"> w</w:t>
      </w:r>
      <w:r w:rsidR="00340E66">
        <w:rPr>
          <w:rFonts w:asciiTheme="majorHAnsi" w:hAnsiTheme="majorHAnsi" w:cstheme="majorHAnsi"/>
          <w:color w:val="000000"/>
          <w:szCs w:val="24"/>
        </w:rPr>
        <w:t xml:space="preserve">as adapted to a 96-well format </w:t>
      </w:r>
      <w:r w:rsidR="00340E66">
        <w:rPr>
          <w:rFonts w:asciiTheme="majorHAnsi" w:hAnsiTheme="majorHAnsi" w:cstheme="majorHAnsi"/>
          <w:color w:val="000000"/>
          <w:szCs w:val="24"/>
        </w:rPr>
        <w:fldChar w:fldCharType="begin" w:fldLock="1"/>
      </w:r>
      <w:r w:rsidR="00340E66">
        <w:rPr>
          <w:rFonts w:asciiTheme="majorHAnsi" w:hAnsiTheme="majorHAnsi" w:cstheme="majorHAnsi"/>
          <w:color w:val="000000"/>
          <w:szCs w:val="24"/>
        </w:rPr>
        <w:instrText>ADDIN CSL_CITATION { "citationItems" : [ { "id" : "ITEM-1", "itemData" : { "DOI" : "10.1128/mBio.01123-16", "PMID" : "27435464", "abstract" : "UNLABELLED Zika virus (ZIKV) is a mosquito-borne flavivirus responsible for thousands of cases of severe fetal malformations and neurological disease since its introduction to Brazil in 2013. Antibodies to flaviviruses can be protective, resulting in lifelong immunity to reinfection by homologous virus. However, cross-reactive antibodies can complicate flavivirus diagnostics and promote more severe disease, as noted after serial dengue virus (DENV) infections. The endemic circulation of DENV in South America and elsewhere raises concerns that preexisting flavivirus immunity may modulate ZIKV disease and transmission potential. Here, we report on the ability of human monoclonal antibodies and immune sera derived from dengue patients to neutralize contemporary epidemic ZIKV strains. We demonstrate that a class of human monoclonal antibodies isolated from DENV patients neutralizes ZIKV in cell culture and is protective in a lethal murine model. We also tested a large panel of convalescent-phase immune sera from humans exposed to primary and repeat DENV infection. Although ZIKV is most closely related to DENV compared to other human-pathogenic flaviviruses, most DENV immune sera (73%) failed to neutralize ZIKV, while others had low (50% effective concentration [EC50], &lt;1:100 serum dilution; 18%) or moderate to high (EC50, &gt;1:100 serum dilution; 9%) levels of cross-neutralizing antibodies. Our results establish that ZIKV and DENV share epitopes that are targeted by neutralizing, protective human antibodies. The availability of potently neutralizing human monoclonal antibodies provides an immunotherapeutic approach to control life-threatening ZIKV infection and also points to the possibility of repurposing DENV vaccines to induce cross-protective immunity to ZIKV. IMPORTANCE ZIKV is an emerging arbovirus that has been associated with severe neurological birth defects and fetal loss in pregnant women and Guillain-Barr\u00e9 syndrome in adults. Currently, there is no vaccine or therapeutic for ZIKV. The identification of a class of antibodies (envelope dimer epitope 1 [EDE1]) that potently neutralizes ZIKV in addition to all four DENV serotypes points to a potential immunotherapeutic to combat ZIKV. This is especially salient given the precedent of antibody therapy to treat pregnant women infected with other viruses associated with microcephaly, such as cytomegalovirus and rubella virus. Furthermore, the identification of a functionally conserved epitope between ZIK\u2026", "author" : [ { "dropping-particle" : "", "family" : "Swanstrom", "given" : "J A", "non-dropping-particle" : "", "parse-names" : false, "suffix" : "" }, { "dropping-particle" : "", "family" : "Plante", "given" : "J A", "non-dropping-particle" : "", "parse-names" : false, "suffix" : "" }, { "dropping-particle" : "", "family" : "Plante", "given" : "K S", "non-dropping-particle" : "", "parse-names" : false, "suffix" : "" }, { "dropping-particle" : "", "family" : "Young", "given" : "E F", "non-dropping-particle" : "", "parse-names" : false, "suffix" : "" }, { "dropping-particle" : "", "family" : "McGowan", "given" : "E", "non-dropping-particle" : "", "parse-names" : false, "suffix" : "" }, { "dropping-particle" : "", "family" : "Gallichotte", "given" : "E N", "non-dropping-particle" : "", "parse-names" : false, "suffix" : "" }, { "dropping-particle" : "", "family" : "Widman", "given" : "D G", "non-dropping-particle" : "", "parse-names" : false, "suffix" : "" }, { "dropping-particle" : "", "family" : "Heise", "given" : "M T", "non-dropping-particle" : "", "parse-names" : false, "suffix" : "" }, { "dropping-particle" : "", "family" : "Silva", "given" : "A M", "non-dropping-particle" : "de", "parse-names" : false, "suffix" : "" }, { "dropping-particle" : "", "family" : "Baric", "given" : "R S", "non-dropping-particle" : "", "parse-names" : false, "suffix" : "" } ], "container-title" : "mBio", "id" : "ITEM-1", "issue" : "4", "issued" : { "date-parts" : [ [ "2016" ] ] }, "title" : "Dengue Virus Envelope Dimer Epitope Monoclonal Antibodies Isolated from Dengue Patients Are Protective against Zika Virus.", "type" : "article-journal", "volume" : "7" }, "uris" : [ "http://www.mendeley.com/documents/?uuid=f56d3951-c75e-4713-83a9-4863fae179c2" ] } ], "mendeley" : { "formattedCitation" : "[3]", "plainTextFormattedCitation" : "[3]", "previouslyFormattedCitation" : "[3]" }, "properties" : { "noteIndex" : 3 }, "schema" : "https://github.com/citation-style-language/schema/raw/master/csl-citation.json" }</w:instrText>
      </w:r>
      <w:r w:rsidR="00340E66">
        <w:rPr>
          <w:rFonts w:asciiTheme="majorHAnsi" w:hAnsiTheme="majorHAnsi" w:cstheme="majorHAnsi"/>
          <w:color w:val="000000"/>
          <w:szCs w:val="24"/>
        </w:rPr>
        <w:fldChar w:fldCharType="separate"/>
      </w:r>
      <w:r w:rsidR="00340E66" w:rsidRPr="00340E66">
        <w:rPr>
          <w:rFonts w:asciiTheme="majorHAnsi" w:hAnsiTheme="majorHAnsi" w:cstheme="majorHAnsi"/>
          <w:noProof/>
          <w:color w:val="000000"/>
          <w:szCs w:val="24"/>
        </w:rPr>
        <w:t>[3]</w:t>
      </w:r>
      <w:r w:rsidR="00340E66">
        <w:rPr>
          <w:rFonts w:asciiTheme="majorHAnsi" w:hAnsiTheme="majorHAnsi" w:cstheme="majorHAnsi"/>
          <w:color w:val="000000"/>
          <w:szCs w:val="24"/>
        </w:rPr>
        <w:fldChar w:fldCharType="end"/>
      </w:r>
      <w:r w:rsidRPr="001772EB">
        <w:rPr>
          <w:rFonts w:asciiTheme="majorHAnsi" w:hAnsiTheme="majorHAnsi" w:cstheme="majorHAnsi"/>
          <w:color w:val="000000"/>
          <w:szCs w:val="24"/>
        </w:rPr>
        <w:t xml:space="preserve">. Neutralization titers were determined by FRNT by serial three-fold dilution of plasma or serum and mixing with </w:t>
      </w:r>
      <w:r w:rsidRPr="001772EB">
        <w:rPr>
          <w:rFonts w:asciiTheme="majorHAnsi" w:hAnsiTheme="majorHAnsi" w:cstheme="majorHAnsi"/>
          <w:color w:val="000000"/>
          <w:szCs w:val="24"/>
          <w:shd w:val="clear" w:color="auto" w:fill="FFFFFF"/>
        </w:rPr>
        <w:t xml:space="preserve">approximately 50-100 focus-forming units of virus in DMEM with 2% FBS. The virus-plasma/serum mixtures were incubated for 1 hour at 37°C and then transferred to a monolayer of Vero cells for titration by focus assay as described above. </w:t>
      </w:r>
      <w:r w:rsidRPr="001772EB">
        <w:rPr>
          <w:rFonts w:asciiTheme="majorHAnsi" w:hAnsiTheme="majorHAnsi" w:cstheme="majorHAnsi"/>
          <w:color w:val="000000"/>
          <w:szCs w:val="24"/>
        </w:rPr>
        <w:t>Neutralization titers for DENV1-4 for hospital samples were determined by PRNT assay. We tested subsequently tested these specimens for ZIKV neutralization by Vero cell micro-FRNT assay and also repeated measurement of DENV4 by the same method as an internal validity control.</w:t>
      </w:r>
      <w:r w:rsidRPr="001772EB">
        <w:rPr>
          <w:rFonts w:asciiTheme="majorHAnsi" w:hAnsiTheme="majorHAnsi" w:cstheme="majorHAnsi"/>
          <w:b/>
          <w:szCs w:val="24"/>
        </w:rPr>
        <w:t xml:space="preserve"> </w:t>
      </w:r>
      <w:r w:rsidRPr="001772EB">
        <w:rPr>
          <w:rFonts w:asciiTheme="majorHAnsi" w:hAnsiTheme="majorHAnsi" w:cstheme="majorHAnsi"/>
          <w:szCs w:val="24"/>
        </w:rPr>
        <w:t>For analyzing neutralization assays, antibody and serum concentrations were log</w:t>
      </w:r>
      <w:r w:rsidRPr="001772EB">
        <w:rPr>
          <w:rFonts w:asciiTheme="majorHAnsi" w:hAnsiTheme="majorHAnsi" w:cstheme="majorHAnsi"/>
          <w:szCs w:val="24"/>
          <w:vertAlign w:val="subscript"/>
        </w:rPr>
        <w:t>10</w:t>
      </w:r>
      <w:r w:rsidRPr="001772EB">
        <w:rPr>
          <w:rFonts w:asciiTheme="majorHAnsi" w:hAnsiTheme="majorHAnsi" w:cstheme="majorHAnsi"/>
          <w:szCs w:val="24"/>
        </w:rPr>
        <w:t> transformed, and FRNT</w:t>
      </w:r>
      <w:r w:rsidRPr="001772EB">
        <w:rPr>
          <w:rFonts w:asciiTheme="majorHAnsi" w:hAnsiTheme="majorHAnsi" w:cstheme="majorHAnsi"/>
          <w:szCs w:val="24"/>
          <w:vertAlign w:val="subscript"/>
        </w:rPr>
        <w:t>50</w:t>
      </w:r>
      <w:r w:rsidRPr="001772EB">
        <w:rPr>
          <w:rFonts w:asciiTheme="majorHAnsi" w:hAnsiTheme="majorHAnsi" w:cstheme="majorHAnsi"/>
          <w:szCs w:val="24"/>
        </w:rPr>
        <w:t xml:space="preserve"> values were calculated using the sigmoidal dose response (variable slope) equation of Prism 6 (</w:t>
      </w:r>
      <w:proofErr w:type="spellStart"/>
      <w:r w:rsidRPr="001772EB">
        <w:rPr>
          <w:rFonts w:asciiTheme="majorHAnsi" w:hAnsiTheme="majorHAnsi" w:cstheme="majorHAnsi"/>
          <w:szCs w:val="24"/>
        </w:rPr>
        <w:t>GraphPad</w:t>
      </w:r>
      <w:proofErr w:type="spellEnd"/>
      <w:r w:rsidRPr="001772EB">
        <w:rPr>
          <w:rFonts w:asciiTheme="majorHAnsi" w:hAnsiTheme="majorHAnsi" w:cstheme="majorHAnsi"/>
          <w:szCs w:val="24"/>
        </w:rPr>
        <w:t xml:space="preserve"> Software). Reported values were required to have an </w:t>
      </w:r>
      <w:r w:rsidRPr="001772EB">
        <w:rPr>
          <w:rFonts w:asciiTheme="majorHAnsi" w:hAnsiTheme="majorHAnsi" w:cstheme="majorHAnsi"/>
          <w:i/>
          <w:iCs/>
          <w:szCs w:val="24"/>
        </w:rPr>
        <w:t>R</w:t>
      </w:r>
      <w:r w:rsidRPr="001772EB">
        <w:rPr>
          <w:rFonts w:asciiTheme="majorHAnsi" w:hAnsiTheme="majorHAnsi" w:cstheme="majorHAnsi"/>
          <w:szCs w:val="24"/>
        </w:rPr>
        <w:t>-squared value of greater than 0.75, a Hill slope absolute value of at least 0.5, and an FRNT</w:t>
      </w:r>
      <w:r w:rsidRPr="001772EB">
        <w:rPr>
          <w:rFonts w:asciiTheme="majorHAnsi" w:hAnsiTheme="majorHAnsi" w:cstheme="majorHAnsi"/>
          <w:szCs w:val="24"/>
          <w:vertAlign w:val="subscript"/>
        </w:rPr>
        <w:t xml:space="preserve">50 </w:t>
      </w:r>
      <w:r w:rsidRPr="001772EB">
        <w:rPr>
          <w:rFonts w:asciiTheme="majorHAnsi" w:hAnsiTheme="majorHAnsi" w:cstheme="majorHAnsi"/>
          <w:szCs w:val="24"/>
        </w:rPr>
        <w:t xml:space="preserve">within the range of the assay. </w:t>
      </w:r>
    </w:p>
    <w:p w14:paraId="49AC7B7B" w14:textId="77777777" w:rsidR="00C2133A" w:rsidRPr="001772EB" w:rsidRDefault="00C2133A" w:rsidP="00C2133A">
      <w:pPr>
        <w:spacing w:line="360" w:lineRule="auto"/>
        <w:contextualSpacing/>
        <w:jc w:val="both"/>
        <w:rPr>
          <w:rFonts w:asciiTheme="majorHAnsi" w:hAnsiTheme="majorHAnsi" w:cstheme="majorHAnsi"/>
          <w:szCs w:val="24"/>
        </w:rPr>
      </w:pPr>
    </w:p>
    <w:p w14:paraId="7909FAE4" w14:textId="77777777" w:rsidR="00C2133A" w:rsidRPr="001772EB" w:rsidRDefault="00C2133A" w:rsidP="00C2133A">
      <w:pPr>
        <w:spacing w:line="360" w:lineRule="auto"/>
        <w:contextualSpacing/>
        <w:jc w:val="both"/>
        <w:rPr>
          <w:rFonts w:asciiTheme="majorHAnsi" w:hAnsiTheme="majorHAnsi" w:cstheme="majorHAnsi"/>
          <w:szCs w:val="24"/>
        </w:rPr>
      </w:pPr>
      <w:r w:rsidRPr="001772EB">
        <w:rPr>
          <w:rFonts w:asciiTheme="majorHAnsi" w:hAnsiTheme="majorHAnsi" w:cstheme="majorHAnsi"/>
          <w:i/>
          <w:szCs w:val="24"/>
        </w:rPr>
        <w:t xml:space="preserve">ICL. </w:t>
      </w:r>
      <w:r w:rsidRPr="001772EB">
        <w:rPr>
          <w:rFonts w:asciiTheme="majorHAnsi" w:hAnsiTheme="majorHAnsi" w:cstheme="majorHAnsi"/>
          <w:szCs w:val="24"/>
        </w:rPr>
        <w:t xml:space="preserve">The FRNT assay was performed by incubating virus with serial dilutions of plasma samples for an hour at 37°C.  The mixtures were then added to Vero cell monolayers and incubated for 2 (ZIKV) or 3 (DENV) days. Focus-forming assays were then performed by staining Vero cell monolayers with murine anti-E </w:t>
      </w:r>
      <w:proofErr w:type="spellStart"/>
      <w:r w:rsidRPr="001772EB">
        <w:rPr>
          <w:rFonts w:asciiTheme="majorHAnsi" w:hAnsiTheme="majorHAnsi" w:cstheme="majorHAnsi"/>
          <w:szCs w:val="24"/>
        </w:rPr>
        <w:t>mAb</w:t>
      </w:r>
      <w:proofErr w:type="spellEnd"/>
      <w:r w:rsidRPr="001772EB">
        <w:rPr>
          <w:rFonts w:asciiTheme="majorHAnsi" w:hAnsiTheme="majorHAnsi" w:cstheme="majorHAnsi"/>
          <w:szCs w:val="24"/>
        </w:rPr>
        <w:t xml:space="preserve"> 4G2 (a gift from AFRIMS) followed by HRP-conjugated goat anti-mouse IgG (</w:t>
      </w:r>
      <w:proofErr w:type="spellStart"/>
      <w:r w:rsidRPr="001772EB">
        <w:rPr>
          <w:rFonts w:asciiTheme="majorHAnsi" w:hAnsiTheme="majorHAnsi" w:cstheme="majorHAnsi"/>
          <w:szCs w:val="24"/>
        </w:rPr>
        <w:t>Dako</w:t>
      </w:r>
      <w:proofErr w:type="spellEnd"/>
      <w:r w:rsidRPr="001772EB">
        <w:rPr>
          <w:rFonts w:asciiTheme="majorHAnsi" w:hAnsiTheme="majorHAnsi" w:cstheme="majorHAnsi"/>
          <w:szCs w:val="24"/>
        </w:rPr>
        <w:t xml:space="preserve">). The foci (infected cells) were visualized by adding peroxidase substrate </w:t>
      </w:r>
      <w:proofErr w:type="spellStart"/>
      <w:r w:rsidRPr="001772EB">
        <w:rPr>
          <w:rFonts w:asciiTheme="majorHAnsi" w:hAnsiTheme="majorHAnsi" w:cstheme="majorHAnsi"/>
          <w:szCs w:val="24"/>
        </w:rPr>
        <w:t>diaminobenzidine</w:t>
      </w:r>
      <w:proofErr w:type="spellEnd"/>
      <w:r w:rsidRPr="001772EB">
        <w:rPr>
          <w:rFonts w:asciiTheme="majorHAnsi" w:hAnsiTheme="majorHAnsi" w:cstheme="majorHAnsi"/>
          <w:szCs w:val="24"/>
        </w:rPr>
        <w:t xml:space="preserve"> (Sigma). The percentage focus reduction was calculated, and 50% FRNT was calculated using the </w:t>
      </w:r>
      <w:proofErr w:type="spellStart"/>
      <w:r w:rsidRPr="001772EB">
        <w:rPr>
          <w:rFonts w:asciiTheme="majorHAnsi" w:hAnsiTheme="majorHAnsi" w:cstheme="majorHAnsi"/>
          <w:szCs w:val="24"/>
        </w:rPr>
        <w:t>probit</w:t>
      </w:r>
      <w:proofErr w:type="spellEnd"/>
      <w:r w:rsidRPr="001772EB">
        <w:rPr>
          <w:rFonts w:asciiTheme="majorHAnsi" w:hAnsiTheme="majorHAnsi" w:cstheme="majorHAnsi"/>
          <w:szCs w:val="24"/>
        </w:rPr>
        <w:t xml:space="preserve"> program from the SPSS package.</w:t>
      </w:r>
    </w:p>
    <w:p w14:paraId="70BE82E9" w14:textId="320354EF" w:rsidR="00DC6C1D" w:rsidRDefault="00DC6C1D" w:rsidP="00C2133A">
      <w:pPr>
        <w:rPr>
          <w:rFonts w:ascii="Calibri" w:hAnsi="Calibri"/>
          <w:sz w:val="22"/>
          <w:szCs w:val="22"/>
        </w:rPr>
      </w:pPr>
    </w:p>
    <w:p w14:paraId="121EC956" w14:textId="77777777" w:rsidR="00BF7699" w:rsidRDefault="00BF7699" w:rsidP="00BF7699">
      <w:pPr>
        <w:widowControl w:val="0"/>
        <w:autoSpaceDE w:val="0"/>
        <w:autoSpaceDN w:val="0"/>
        <w:adjustRightInd w:val="0"/>
        <w:spacing w:line="480" w:lineRule="auto"/>
        <w:ind w:left="640" w:hanging="640"/>
        <w:rPr>
          <w:rFonts w:ascii="Calibri" w:hAnsi="Calibri"/>
          <w:szCs w:val="24"/>
        </w:rPr>
      </w:pPr>
    </w:p>
    <w:p w14:paraId="7298752D" w14:textId="77777777" w:rsidR="00BF7699" w:rsidRDefault="00BF7699">
      <w:pPr>
        <w:rPr>
          <w:rFonts w:ascii="Calibri" w:hAnsi="Calibri"/>
          <w:b/>
          <w:szCs w:val="24"/>
        </w:rPr>
      </w:pPr>
      <w:r>
        <w:rPr>
          <w:rFonts w:ascii="Calibri" w:hAnsi="Calibri"/>
          <w:b/>
          <w:szCs w:val="24"/>
        </w:rPr>
        <w:br w:type="page"/>
      </w:r>
    </w:p>
    <w:p w14:paraId="421E9B58" w14:textId="77BB96E3" w:rsidR="00BF7699" w:rsidRPr="00BF7699" w:rsidRDefault="00BF7699" w:rsidP="00BF7699">
      <w:pPr>
        <w:widowControl w:val="0"/>
        <w:autoSpaceDE w:val="0"/>
        <w:autoSpaceDN w:val="0"/>
        <w:adjustRightInd w:val="0"/>
        <w:spacing w:line="360" w:lineRule="auto"/>
        <w:ind w:left="640" w:hanging="640"/>
        <w:rPr>
          <w:rFonts w:ascii="Calibri" w:hAnsi="Calibri"/>
          <w:b/>
          <w:szCs w:val="24"/>
        </w:rPr>
      </w:pPr>
      <w:r w:rsidRPr="00BF7699">
        <w:rPr>
          <w:rFonts w:ascii="Calibri" w:hAnsi="Calibri"/>
          <w:b/>
          <w:szCs w:val="24"/>
        </w:rPr>
        <w:lastRenderedPageBreak/>
        <w:t>References</w:t>
      </w:r>
    </w:p>
    <w:p w14:paraId="0BC0B48D" w14:textId="46498510" w:rsidR="00340E66" w:rsidRPr="00BF7699" w:rsidRDefault="00340E66" w:rsidP="00BF7699">
      <w:pPr>
        <w:widowControl w:val="0"/>
        <w:autoSpaceDE w:val="0"/>
        <w:autoSpaceDN w:val="0"/>
        <w:adjustRightInd w:val="0"/>
        <w:spacing w:line="360" w:lineRule="auto"/>
        <w:ind w:left="640" w:hanging="640"/>
        <w:rPr>
          <w:rFonts w:ascii="Calibri" w:hAnsi="Calibri" w:cs="Calibri"/>
          <w:noProof/>
          <w:szCs w:val="24"/>
        </w:rPr>
      </w:pPr>
      <w:r w:rsidRPr="00BF7699">
        <w:rPr>
          <w:rFonts w:ascii="Calibri" w:hAnsi="Calibri"/>
          <w:szCs w:val="24"/>
        </w:rPr>
        <w:fldChar w:fldCharType="begin" w:fldLock="1"/>
      </w:r>
      <w:r w:rsidRPr="00BF7699">
        <w:rPr>
          <w:rFonts w:ascii="Calibri" w:hAnsi="Calibri"/>
          <w:szCs w:val="24"/>
        </w:rPr>
        <w:instrText xml:space="preserve">ADDIN Mendeley Bibliography CSL_BIBLIOGRAPHY </w:instrText>
      </w:r>
      <w:r w:rsidRPr="00BF7699">
        <w:rPr>
          <w:rFonts w:ascii="Calibri" w:hAnsi="Calibri"/>
          <w:szCs w:val="24"/>
        </w:rPr>
        <w:fldChar w:fldCharType="separate"/>
      </w:r>
      <w:r w:rsidRPr="00BF7699">
        <w:rPr>
          <w:rFonts w:ascii="Calibri" w:hAnsi="Calibri" w:cs="Calibri"/>
          <w:noProof/>
          <w:szCs w:val="24"/>
        </w:rPr>
        <w:t xml:space="preserve">1. </w:t>
      </w:r>
      <w:r w:rsidRPr="00BF7699">
        <w:rPr>
          <w:rFonts w:ascii="Calibri" w:hAnsi="Calibri" w:cs="Calibri"/>
          <w:noProof/>
          <w:szCs w:val="24"/>
        </w:rPr>
        <w:tab/>
        <w:t xml:space="preserve">Corbett KS, Katzelnick L, Tissera H, Amerasinghe A, de Silva AD, de Silva AM. Preexisting neutralizing antibody responses distinguish clinically inapparent and apparent dengue virus infections in a Sri Lankan pediatric cohort. J. Infect. Dis. </w:t>
      </w:r>
      <w:r w:rsidRPr="00BF7699">
        <w:rPr>
          <w:rFonts w:ascii="Calibri" w:hAnsi="Calibri" w:cs="Calibri"/>
          <w:b/>
          <w:bCs/>
          <w:noProof/>
          <w:szCs w:val="24"/>
        </w:rPr>
        <w:t>2015</w:t>
      </w:r>
      <w:r w:rsidRPr="00BF7699">
        <w:rPr>
          <w:rFonts w:ascii="Calibri" w:hAnsi="Calibri" w:cs="Calibri"/>
          <w:noProof/>
          <w:szCs w:val="24"/>
        </w:rPr>
        <w:t xml:space="preserve">; 211:590–9. </w:t>
      </w:r>
    </w:p>
    <w:p w14:paraId="7ADB2E5B" w14:textId="77777777" w:rsidR="00340E66" w:rsidRPr="00BF7699" w:rsidRDefault="00340E66" w:rsidP="00BF7699">
      <w:pPr>
        <w:widowControl w:val="0"/>
        <w:autoSpaceDE w:val="0"/>
        <w:autoSpaceDN w:val="0"/>
        <w:adjustRightInd w:val="0"/>
        <w:spacing w:line="360" w:lineRule="auto"/>
        <w:ind w:left="640" w:hanging="640"/>
        <w:rPr>
          <w:rFonts w:ascii="Calibri" w:hAnsi="Calibri" w:cs="Calibri"/>
          <w:noProof/>
          <w:szCs w:val="24"/>
        </w:rPr>
      </w:pPr>
      <w:r w:rsidRPr="00BF7699">
        <w:rPr>
          <w:rFonts w:ascii="Calibri" w:hAnsi="Calibri" w:cs="Calibri"/>
          <w:noProof/>
          <w:szCs w:val="24"/>
        </w:rPr>
        <w:t xml:space="preserve">2. </w:t>
      </w:r>
      <w:r w:rsidRPr="00BF7699">
        <w:rPr>
          <w:rFonts w:ascii="Calibri" w:hAnsi="Calibri" w:cs="Calibri"/>
          <w:noProof/>
          <w:szCs w:val="24"/>
        </w:rPr>
        <w:tab/>
        <w:t xml:space="preserve">Gallichotte EN, Widman DG, Yount BL, et al. A New Quaternary Structure Epitope on Dengue Virus Serotype 2 Is the Target of Durable Type-Specific Neutralizing Antibodies. </w:t>
      </w:r>
      <w:r w:rsidRPr="00BF7699">
        <w:rPr>
          <w:rFonts w:ascii="Calibri" w:hAnsi="Calibri" w:cs="Calibri"/>
          <w:b/>
          <w:bCs/>
          <w:noProof/>
          <w:szCs w:val="24"/>
        </w:rPr>
        <w:t>2015</w:t>
      </w:r>
      <w:r w:rsidRPr="00BF7699">
        <w:rPr>
          <w:rFonts w:ascii="Calibri" w:hAnsi="Calibri" w:cs="Calibri"/>
          <w:noProof/>
          <w:szCs w:val="24"/>
        </w:rPr>
        <w:t xml:space="preserve">; 6:1–8. </w:t>
      </w:r>
    </w:p>
    <w:p w14:paraId="458E4E8C" w14:textId="77777777" w:rsidR="00340E66" w:rsidRPr="00BF7699" w:rsidRDefault="00340E66" w:rsidP="00BF7699">
      <w:pPr>
        <w:widowControl w:val="0"/>
        <w:autoSpaceDE w:val="0"/>
        <w:autoSpaceDN w:val="0"/>
        <w:adjustRightInd w:val="0"/>
        <w:spacing w:line="360" w:lineRule="auto"/>
        <w:ind w:left="640" w:hanging="640"/>
        <w:rPr>
          <w:rFonts w:ascii="Calibri" w:hAnsi="Calibri" w:cs="Calibri"/>
          <w:noProof/>
          <w:szCs w:val="24"/>
        </w:rPr>
      </w:pPr>
      <w:r w:rsidRPr="00BF7699">
        <w:rPr>
          <w:rFonts w:ascii="Calibri" w:hAnsi="Calibri" w:cs="Calibri"/>
          <w:noProof/>
          <w:szCs w:val="24"/>
        </w:rPr>
        <w:t xml:space="preserve">3. </w:t>
      </w:r>
      <w:r w:rsidRPr="00BF7699">
        <w:rPr>
          <w:rFonts w:ascii="Calibri" w:hAnsi="Calibri" w:cs="Calibri"/>
          <w:noProof/>
          <w:szCs w:val="24"/>
        </w:rPr>
        <w:tab/>
        <w:t xml:space="preserve">Swanstrom JA, Plante JA, Plante KS, et al. Dengue Virus Envelope Dimer Epitope Monoclonal Antibodies Isolated from Dengue Patients Are Protective against Zika Virus. MBio </w:t>
      </w:r>
      <w:r w:rsidRPr="00BF7699">
        <w:rPr>
          <w:rFonts w:ascii="Calibri" w:hAnsi="Calibri" w:cs="Calibri"/>
          <w:b/>
          <w:bCs/>
          <w:noProof/>
          <w:szCs w:val="24"/>
        </w:rPr>
        <w:t>2016</w:t>
      </w:r>
      <w:r w:rsidRPr="00BF7699">
        <w:rPr>
          <w:rFonts w:ascii="Calibri" w:hAnsi="Calibri" w:cs="Calibri"/>
          <w:noProof/>
          <w:szCs w:val="24"/>
        </w:rPr>
        <w:t xml:space="preserve">; 7. </w:t>
      </w:r>
    </w:p>
    <w:p w14:paraId="44DE2EBD" w14:textId="5926F31D" w:rsidR="00340E66" w:rsidRPr="00134DB6" w:rsidRDefault="00340E66" w:rsidP="00BF7699">
      <w:pPr>
        <w:spacing w:line="360" w:lineRule="auto"/>
        <w:rPr>
          <w:rFonts w:ascii="Calibri" w:hAnsi="Calibri"/>
          <w:sz w:val="22"/>
          <w:szCs w:val="22"/>
        </w:rPr>
      </w:pPr>
      <w:r w:rsidRPr="00BF7699">
        <w:rPr>
          <w:rFonts w:ascii="Calibri" w:hAnsi="Calibri"/>
          <w:szCs w:val="24"/>
        </w:rPr>
        <w:fldChar w:fldCharType="end"/>
      </w:r>
    </w:p>
    <w:sectPr w:rsidR="00340E66" w:rsidRPr="00134DB6" w:rsidSect="005030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auto"/>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displayHorizontalDrawingGridEvery w:val="0"/>
  <w:displayVerticalDrawingGridEvery w:val="0"/>
  <w:doNotUseMarginsForDrawingGridOrigin/>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EE1"/>
    <w:rsid w:val="00107D79"/>
    <w:rsid w:val="00134B22"/>
    <w:rsid w:val="00134DB6"/>
    <w:rsid w:val="001772EB"/>
    <w:rsid w:val="001F17AE"/>
    <w:rsid w:val="00202E71"/>
    <w:rsid w:val="002B5D38"/>
    <w:rsid w:val="00340E66"/>
    <w:rsid w:val="00390785"/>
    <w:rsid w:val="00414A3B"/>
    <w:rsid w:val="004B718E"/>
    <w:rsid w:val="005030DA"/>
    <w:rsid w:val="0054729A"/>
    <w:rsid w:val="00575492"/>
    <w:rsid w:val="006F33E8"/>
    <w:rsid w:val="00B150F9"/>
    <w:rsid w:val="00BF7699"/>
    <w:rsid w:val="00C17561"/>
    <w:rsid w:val="00C2133A"/>
    <w:rsid w:val="00DA0880"/>
    <w:rsid w:val="00DA0EE1"/>
    <w:rsid w:val="00DC6C1D"/>
    <w:rsid w:val="00E83D45"/>
    <w:rsid w:val="00EC47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7E0008DB"/>
  <w14:defaultImageDpi w14:val="300"/>
  <w15:docId w15:val="{B6CE8DCD-B85B-4EC3-872C-03D3D2A41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A0EE1"/>
    <w:rPr>
      <w:sz w:val="16"/>
      <w:szCs w:val="16"/>
    </w:rPr>
  </w:style>
  <w:style w:type="paragraph" w:styleId="CommentText">
    <w:name w:val="annotation text"/>
    <w:basedOn w:val="Normal"/>
    <w:link w:val="CommentTextChar"/>
    <w:uiPriority w:val="99"/>
    <w:semiHidden/>
    <w:unhideWhenUsed/>
    <w:rsid w:val="00DA0EE1"/>
    <w:pPr>
      <w:spacing w:after="200"/>
    </w:pPr>
    <w:rPr>
      <w:rFonts w:ascii="Calibri" w:eastAsia="Calibri" w:hAnsi="Calibri" w:cs="Times"/>
      <w:sz w:val="20"/>
      <w:lang w:val="fr-FR"/>
    </w:rPr>
  </w:style>
  <w:style w:type="character" w:customStyle="1" w:styleId="CommentTextChar">
    <w:name w:val="Comment Text Char"/>
    <w:basedOn w:val="DefaultParagraphFont"/>
    <w:link w:val="CommentText"/>
    <w:uiPriority w:val="99"/>
    <w:semiHidden/>
    <w:rsid w:val="00DA0EE1"/>
    <w:rPr>
      <w:rFonts w:ascii="Calibri" w:eastAsia="Calibri" w:hAnsi="Calibri" w:cs="Times"/>
      <w:lang w:val="fr-FR" w:eastAsia="en-US"/>
    </w:rPr>
  </w:style>
  <w:style w:type="character" w:customStyle="1" w:styleId="apple-converted-space">
    <w:name w:val="apple-converted-space"/>
    <w:basedOn w:val="DefaultParagraphFont"/>
    <w:rsid w:val="00134DB6"/>
  </w:style>
  <w:style w:type="character" w:styleId="Emphasis">
    <w:name w:val="Emphasis"/>
    <w:basedOn w:val="DefaultParagraphFont"/>
    <w:uiPriority w:val="20"/>
    <w:qFormat/>
    <w:rsid w:val="00134DB6"/>
    <w:rPr>
      <w:i/>
      <w:iCs/>
    </w:rPr>
  </w:style>
  <w:style w:type="paragraph" w:styleId="Revision">
    <w:name w:val="Revision"/>
    <w:hidden/>
    <w:uiPriority w:val="99"/>
    <w:semiHidden/>
    <w:rsid w:val="00575492"/>
    <w:rPr>
      <w:sz w:val="24"/>
      <w:lang w:eastAsia="en-US"/>
    </w:rPr>
  </w:style>
  <w:style w:type="paragraph" w:styleId="BalloonText">
    <w:name w:val="Balloon Text"/>
    <w:basedOn w:val="Normal"/>
    <w:link w:val="BalloonTextChar"/>
    <w:uiPriority w:val="99"/>
    <w:semiHidden/>
    <w:unhideWhenUsed/>
    <w:rsid w:val="0057549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75492"/>
    <w:rPr>
      <w:rFonts w:ascii="Lucida Grande" w:hAnsi="Lucida Grande" w:cs="Lucida Grande"/>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66499-56F6-42AC-B495-3D29EA33E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2432</Words>
  <Characters>13869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UC Berkeley</Company>
  <LinksUpToDate>false</LinksUpToDate>
  <CharactersWithSpaces>16269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Harris</dc:creator>
  <cp:keywords/>
  <dc:description/>
  <cp:lastModifiedBy>Harris Lab</cp:lastModifiedBy>
  <cp:revision>2</cp:revision>
  <dcterms:created xsi:type="dcterms:W3CDTF">2018-02-01T20:46:00Z</dcterms:created>
  <dcterms:modified xsi:type="dcterms:W3CDTF">2018-02-01T20:46:00Z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http://www.zotero.org/styles/american-sociological-association</vt:lpwstr>
  </property>
  <property fmtid="{D5CDD505-2E9C-101B-9397-08002B2CF9AE}" pid="3" name="Mendeley Recent Style Name 0_1">
    <vt:lpwstr>American Sociological Association</vt:lpwstr>
  </property>
  <property fmtid="{D5CDD505-2E9C-101B-9397-08002B2CF9AE}" pid="4" name="Mendeley Recent Style Id 1_1">
    <vt:lpwstr>http://www.zotero.org/styles/chicago-author-date</vt:lpwstr>
  </property>
  <property fmtid="{D5CDD505-2E9C-101B-9397-08002B2CF9AE}" pid="5" name="Mendeley Recent Style Name 1_1">
    <vt:lpwstr>Chicago Manual of Style 16th edition (author-date)</vt:lpwstr>
  </property>
  <property fmtid="{D5CDD505-2E9C-101B-9397-08002B2CF9AE}" pid="6" name="Mendeley Recent Style Id 2_1">
    <vt:lpwstr>http://www.zotero.org/styles/clinical-infectious-diseases</vt:lpwstr>
  </property>
  <property fmtid="{D5CDD505-2E9C-101B-9397-08002B2CF9AE}" pid="7" name="Mendeley Recent Style Name 2_1">
    <vt:lpwstr>Clinical Infectious Diseases</vt:lpwstr>
  </property>
  <property fmtid="{D5CDD505-2E9C-101B-9397-08002B2CF9AE}" pid="8" name="Mendeley Recent Style Id 3_1">
    <vt:lpwstr>http://www.zotero.org/styles/harvard1</vt:lpwstr>
  </property>
  <property fmtid="{D5CDD505-2E9C-101B-9397-08002B2CF9AE}" pid="9" name="Mendeley Recent Style Name 3_1">
    <vt:lpwstr>Harvard Reference format 1 (author-date)</vt:lpwstr>
  </property>
  <property fmtid="{D5CDD505-2E9C-101B-9397-08002B2CF9AE}" pid="10" name="Mendeley Recent Style Id 4_1">
    <vt:lpwstr>http://www.zotero.org/styles/ieee</vt:lpwstr>
  </property>
  <property fmtid="{D5CDD505-2E9C-101B-9397-08002B2CF9AE}" pid="11" name="Mendeley Recent Style Name 4_1">
    <vt:lpwstr>IEEE</vt:lpwstr>
  </property>
  <property fmtid="{D5CDD505-2E9C-101B-9397-08002B2CF9AE}" pid="12" name="Mendeley Recent Style Id 5_1">
    <vt:lpwstr>http://www.zotero.org/styles/journal-of-infectious-diseases</vt:lpwstr>
  </property>
  <property fmtid="{D5CDD505-2E9C-101B-9397-08002B2CF9AE}" pid="13" name="Mendeley Recent Style Name 5_1">
    <vt:lpwstr>Journal of Infectious Diseases</vt:lpwstr>
  </property>
  <property fmtid="{D5CDD505-2E9C-101B-9397-08002B2CF9AE}" pid="14" name="Mendeley Recent Style Id 6_1">
    <vt:lpwstr>http://www.zotero.org/styles/modern-humanities-research-association</vt:lpwstr>
  </property>
  <property fmtid="{D5CDD505-2E9C-101B-9397-08002B2CF9AE}" pid="15" name="Mendeley Recent Style Name 6_1">
    <vt:lpwstr>Modern Humanities Research Association 3rd edition (note with bibliography)</vt:lpwstr>
  </property>
  <property fmtid="{D5CDD505-2E9C-101B-9397-08002B2CF9AE}" pid="16" name="Mendeley Recent Style Id 7_1">
    <vt:lpwstr>http://www.zotero.org/styles/modern-language-association</vt:lpwstr>
  </property>
  <property fmtid="{D5CDD505-2E9C-101B-9397-08002B2CF9AE}" pid="17" name="Mendeley Recent Style Name 7_1">
    <vt:lpwstr>Modern Language Association 7th edition</vt:lpwstr>
  </property>
  <property fmtid="{D5CDD505-2E9C-101B-9397-08002B2CF9AE}" pid="18" name="Mendeley Recent Style Id 8_1">
    <vt:lpwstr>http://www.zotero.org/styles/nature</vt:lpwstr>
  </property>
  <property fmtid="{D5CDD505-2E9C-101B-9397-08002B2CF9AE}" pid="19" name="Mendeley Recent Style Name 8_1">
    <vt:lpwstr>Nature</vt:lpwstr>
  </property>
  <property fmtid="{D5CDD505-2E9C-101B-9397-08002B2CF9AE}" pid="20" name="Mendeley Recent Style Id 9_1">
    <vt:lpwstr>http://www.zotero.org/styles/the-american-journal-of-medicine</vt:lpwstr>
  </property>
  <property fmtid="{D5CDD505-2E9C-101B-9397-08002B2CF9AE}" pid="21" name="Mendeley Recent Style Name 9_1">
    <vt:lpwstr>The American Journal of Medicine</vt:lpwstr>
  </property>
  <property fmtid="{D5CDD505-2E9C-101B-9397-08002B2CF9AE}" pid="22" name="Mendeley Document_1">
    <vt:lpwstr>True</vt:lpwstr>
  </property>
  <property fmtid="{D5CDD505-2E9C-101B-9397-08002B2CF9AE}" pid="23" name="Mendeley Unique User Id_1">
    <vt:lpwstr>7cbe8997-38a3-3804-9530-63932a31618c</vt:lpwstr>
  </property>
  <property fmtid="{D5CDD505-2E9C-101B-9397-08002B2CF9AE}" pid="24" name="Mendeley Citation Style_1">
    <vt:lpwstr>http://www.zotero.org/styles/clinical-infectious-diseases</vt:lpwstr>
  </property>
</Properties>
</file>